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83" w:rsidRPr="0016365B" w:rsidRDefault="00BC296F" w:rsidP="00AD4A83">
      <w:pPr>
        <w:spacing w:after="0" w:line="480" w:lineRule="auto"/>
        <w:rPr>
          <w:rFonts w:asciiTheme="minorHAnsi" w:hAnsiTheme="minorHAnsi" w:cs="Arial"/>
        </w:rPr>
      </w:pPr>
      <w:r>
        <w:rPr>
          <w:rFonts w:asciiTheme="minorHAnsi" w:hAnsiTheme="minorHAnsi" w:cs="Arial"/>
          <w:b/>
        </w:rPr>
        <w:t>Additional file 1</w:t>
      </w:r>
    </w:p>
    <w:p w:rsidR="00AD4A83" w:rsidRPr="0016365B" w:rsidRDefault="00AD4A83" w:rsidP="00AD4A83">
      <w:pPr>
        <w:spacing w:after="0" w:line="480" w:lineRule="auto"/>
        <w:rPr>
          <w:rFonts w:asciiTheme="minorHAnsi" w:hAnsiTheme="minorHAnsi" w:cs="Arial"/>
          <w:b/>
          <w:i/>
        </w:rPr>
      </w:pPr>
      <w:r w:rsidRPr="0016365B">
        <w:rPr>
          <w:rFonts w:asciiTheme="minorHAnsi" w:hAnsiTheme="minorHAnsi" w:cs="Arial"/>
          <w:b/>
          <w:i/>
        </w:rPr>
        <w:t>Clinical study:</w:t>
      </w:r>
    </w:p>
    <w:p w:rsidR="00AD4A83" w:rsidRPr="0016365B" w:rsidRDefault="00AD4A83" w:rsidP="00AD4A83">
      <w:pPr>
        <w:spacing w:after="0" w:line="480" w:lineRule="auto"/>
        <w:rPr>
          <w:rFonts w:asciiTheme="minorHAnsi" w:hAnsiTheme="minorHAnsi" w:cs="Arial"/>
        </w:rPr>
      </w:pPr>
      <w:r w:rsidRPr="0016365B">
        <w:rPr>
          <w:rFonts w:asciiTheme="minorHAnsi" w:hAnsiTheme="minorHAnsi" w:cs="Arial"/>
        </w:rPr>
        <w:t xml:space="preserve">This patient was treated on an open-label, single-center, phase I study using a modified 3+3 dose-escalation design, which has been previously reported  </w:t>
      </w:r>
      <w:r w:rsidR="00DD248D" w:rsidRPr="0016365B">
        <w:rPr>
          <w:rFonts w:asciiTheme="minorHAnsi" w:hAnsiTheme="minorHAnsi" w:cs="Arial"/>
        </w:rPr>
        <w:fldChar w:fldCharType="begin"/>
      </w:r>
      <w:r w:rsidRPr="0016365B">
        <w:rPr>
          <w:rFonts w:asciiTheme="minorHAnsi" w:hAnsiTheme="minorHAnsi" w:cs="Arial"/>
        </w:rPr>
        <w:instrText xml:space="preserve"> ADDIN EN.CITE &lt;EndNote&gt;&lt;Cite&gt;&lt;Author&gt;Antonia&lt;/Author&gt;&lt;Year&gt;2016&lt;/Year&gt;&lt;RecNum&gt;64&lt;/RecNum&gt;&lt;DisplayText&gt;[8]&lt;/DisplayText&gt;&lt;record&gt;&lt;rec-number&gt;64&lt;/rec-number&gt;&lt;foreign-keys&gt;&lt;key app="EN" db-id="edezdwzwa9tv5oex2dlxaa2s9vrwf5zsteav"&gt;64&lt;/key&gt;&lt;/foreign-keys&gt;&lt;ref-type name="Journal Article"&gt;17&lt;/ref-type&gt;&lt;contributors&gt;&lt;authors&gt;&lt;author&gt;Antonia, Scott&lt;/author&gt;&lt;author&gt;Goldberg, Sarah B&lt;/author&gt;&lt;author&gt;Balmanoukian, Ani&lt;/author&gt;&lt;author&gt;Chaft, Jamie E&lt;/author&gt;&lt;author&gt;Sanborn, Rachel E&lt;/author&gt;&lt;author&gt;Gupta, Ashok&lt;/author&gt;&lt;author&gt;Narwal, Rajesh&lt;/author&gt;&lt;author&gt;Steele, Keith&lt;/author&gt;&lt;author&gt;Gu, Yu&lt;/author&gt;&lt;author&gt;Karakunnel, Joyson J&lt;/author&gt;&lt;/authors&gt;&lt;/contributors&gt;&lt;titles&gt;&lt;title&gt;Safety and antitumour activity of durvalumab plus tremelimumab in non-small cell lung cancer: a multicentre, phase 1b study&lt;/title&gt;&lt;secondary-title&gt;The Lancet Oncology&lt;/secondary-title&gt;&lt;/titles&gt;&lt;periodical&gt;&lt;full-title&gt;The Lancet Oncology&lt;/full-title&gt;&lt;/periodical&gt;&lt;pages&gt;299-308&lt;/pages&gt;&lt;volume&gt;17&lt;/volume&gt;&lt;number&gt;3&lt;/number&gt;&lt;dates&gt;&lt;year&gt;2016&lt;/year&gt;&lt;/dates&gt;&lt;isbn&gt;1470-2045&lt;/isbn&gt;&lt;urls&gt;&lt;/urls&gt;&lt;/record&gt;&lt;/Cite&gt;&lt;/EndNote&gt;</w:instrText>
      </w:r>
      <w:r w:rsidR="00DD248D" w:rsidRPr="0016365B">
        <w:rPr>
          <w:rFonts w:asciiTheme="minorHAnsi" w:hAnsiTheme="minorHAnsi" w:cs="Arial"/>
        </w:rPr>
        <w:fldChar w:fldCharType="separate"/>
      </w:r>
      <w:r w:rsidRPr="0016365B">
        <w:rPr>
          <w:rFonts w:asciiTheme="minorHAnsi" w:hAnsiTheme="minorHAnsi" w:cs="Arial"/>
          <w:noProof/>
        </w:rPr>
        <w:t>[8]</w:t>
      </w:r>
      <w:r w:rsidR="00DD248D" w:rsidRPr="0016365B">
        <w:rPr>
          <w:rFonts w:asciiTheme="minorHAnsi" w:hAnsiTheme="minorHAnsi" w:cs="Arial"/>
        </w:rPr>
        <w:fldChar w:fldCharType="end"/>
      </w:r>
      <w:r w:rsidR="004E664C">
        <w:rPr>
          <w:rFonts w:asciiTheme="minorHAnsi" w:hAnsiTheme="minorHAnsi" w:cs="Arial"/>
        </w:rPr>
        <w:t xml:space="preserve">. </w:t>
      </w:r>
      <w:proofErr w:type="spellStart"/>
      <w:r w:rsidR="004E664C">
        <w:rPr>
          <w:rFonts w:asciiTheme="minorHAnsi" w:hAnsiTheme="minorHAnsi" w:cs="Arial"/>
        </w:rPr>
        <w:t>Tremelimumab</w:t>
      </w:r>
      <w:proofErr w:type="spellEnd"/>
      <w:r w:rsidR="004E664C">
        <w:rPr>
          <w:rFonts w:asciiTheme="minorHAnsi" w:hAnsiTheme="minorHAnsi" w:cs="Arial"/>
        </w:rPr>
        <w:t xml:space="preserve"> and </w:t>
      </w:r>
      <w:proofErr w:type="spellStart"/>
      <w:r w:rsidR="004E664C">
        <w:rPr>
          <w:rFonts w:asciiTheme="minorHAnsi" w:hAnsiTheme="minorHAnsi" w:cs="Arial"/>
        </w:rPr>
        <w:t>durva</w:t>
      </w:r>
      <w:r w:rsidRPr="0016365B">
        <w:rPr>
          <w:rFonts w:asciiTheme="minorHAnsi" w:hAnsiTheme="minorHAnsi" w:cs="Arial"/>
        </w:rPr>
        <w:t>lumab</w:t>
      </w:r>
      <w:proofErr w:type="spellEnd"/>
      <w:r w:rsidRPr="0016365B">
        <w:rPr>
          <w:rFonts w:asciiTheme="minorHAnsi" w:hAnsiTheme="minorHAnsi" w:cs="Arial"/>
        </w:rPr>
        <w:t xml:space="preserve"> was administered starting on day 1, once every cycle, with a cycle every 28 days. This study was conducted at the H Lee Moffitt Cancer Center (Tampa, FL), and the case report was approved by local institutional review board. It was performed in accordance with the Declaration of Helsinki and the International Conference on Harmonization Good Clinical Practice (ICH –GCP) guidelines. Informed consent from the patient was previously obtained for research, including use of tissue for research. The primary objective was to characterize the pathogenesis of the adverse event.</w:t>
      </w:r>
    </w:p>
    <w:p w:rsidR="00AD4A83" w:rsidRPr="0016365B" w:rsidRDefault="00AD4A83" w:rsidP="00AD4A83">
      <w:pPr>
        <w:spacing w:after="0" w:line="480" w:lineRule="auto"/>
        <w:rPr>
          <w:rFonts w:asciiTheme="minorHAnsi" w:hAnsiTheme="minorHAnsi" w:cs="Arial"/>
          <w:b/>
          <w:i/>
        </w:rPr>
      </w:pPr>
      <w:r w:rsidRPr="0016365B">
        <w:rPr>
          <w:rFonts w:asciiTheme="minorHAnsi" w:hAnsiTheme="minorHAnsi" w:cs="Arial"/>
          <w:b/>
          <w:i/>
        </w:rPr>
        <w:t xml:space="preserve">Serology: </w:t>
      </w:r>
    </w:p>
    <w:p w:rsidR="00536E4E" w:rsidRDefault="00D33B5C" w:rsidP="00AD4A83">
      <w:pPr>
        <w:spacing w:after="0" w:line="480" w:lineRule="auto"/>
        <w:rPr>
          <w:rFonts w:asciiTheme="minorHAnsi" w:hAnsiTheme="minorHAnsi" w:cs="Arial"/>
        </w:rPr>
      </w:pPr>
      <w:r w:rsidRPr="000F0089">
        <w:t>The a</w:t>
      </w:r>
      <w:r w:rsidR="00536E4E" w:rsidRPr="000F0089">
        <w:t>rchived pretreatment serum</w:t>
      </w:r>
      <w:r w:rsidR="00536E4E" w:rsidRPr="000F0089">
        <w:rPr>
          <w:rFonts w:asciiTheme="minorHAnsi" w:hAnsiTheme="minorHAnsi" w:cs="Arial"/>
        </w:rPr>
        <w:t xml:space="preserve"> </w:t>
      </w:r>
      <w:r w:rsidRPr="000F0089">
        <w:rPr>
          <w:rFonts w:asciiTheme="minorHAnsi" w:hAnsiTheme="minorHAnsi" w:cs="Arial"/>
        </w:rPr>
        <w:t xml:space="preserve">sample </w:t>
      </w:r>
      <w:r w:rsidR="00536E4E" w:rsidRPr="000F0089">
        <w:rPr>
          <w:rFonts w:asciiTheme="minorHAnsi" w:hAnsiTheme="minorHAnsi" w:cs="Arial"/>
        </w:rPr>
        <w:t xml:space="preserve">had been processed </w:t>
      </w:r>
      <w:r w:rsidR="00C20E66" w:rsidRPr="000F0089">
        <w:rPr>
          <w:rFonts w:asciiTheme="minorHAnsi" w:hAnsiTheme="minorHAnsi" w:cs="Arial"/>
        </w:rPr>
        <w:t xml:space="preserve">for the clinical trial </w:t>
      </w:r>
      <w:r w:rsidR="00536E4E" w:rsidRPr="000F0089">
        <w:rPr>
          <w:rFonts w:asciiTheme="minorHAnsi" w:hAnsiTheme="minorHAnsi" w:cs="Arial"/>
        </w:rPr>
        <w:t xml:space="preserve">in </w:t>
      </w:r>
      <w:r w:rsidRPr="000F0089">
        <w:rPr>
          <w:rFonts w:asciiTheme="minorHAnsi" w:hAnsiTheme="minorHAnsi" w:cs="Arial"/>
        </w:rPr>
        <w:t xml:space="preserve">a </w:t>
      </w:r>
      <w:r w:rsidR="00647F07" w:rsidRPr="000F0089">
        <w:rPr>
          <w:rFonts w:asciiTheme="minorHAnsi" w:hAnsiTheme="minorHAnsi" w:cs="Arial"/>
        </w:rPr>
        <w:t>serum separator</w:t>
      </w:r>
      <w:r w:rsidR="00536E4E" w:rsidRPr="000F0089">
        <w:rPr>
          <w:rFonts w:asciiTheme="minorHAnsi" w:hAnsiTheme="minorHAnsi" w:cs="Arial"/>
        </w:rPr>
        <w:t xml:space="preserve"> </w:t>
      </w:r>
      <w:r w:rsidR="00647F07" w:rsidRPr="000F0089">
        <w:rPr>
          <w:rFonts w:asciiTheme="minorHAnsi" w:hAnsiTheme="minorHAnsi" w:cs="Arial"/>
        </w:rPr>
        <w:t xml:space="preserve">(SST) </w:t>
      </w:r>
      <w:r w:rsidRPr="000F0089">
        <w:rPr>
          <w:rFonts w:asciiTheme="minorHAnsi" w:hAnsiTheme="minorHAnsi" w:cs="Arial"/>
        </w:rPr>
        <w:t>tube</w:t>
      </w:r>
      <w:r w:rsidR="00536E4E" w:rsidRPr="000F0089">
        <w:rPr>
          <w:rFonts w:asciiTheme="minorHAnsi" w:hAnsiTheme="minorHAnsi" w:cs="Arial"/>
        </w:rPr>
        <w:t xml:space="preserve"> of 0.5 mL </w:t>
      </w:r>
      <w:r w:rsidRPr="000F0089">
        <w:rPr>
          <w:rFonts w:asciiTheme="minorHAnsi" w:hAnsiTheme="minorHAnsi" w:cs="Arial"/>
        </w:rPr>
        <w:t>aliquot</w:t>
      </w:r>
      <w:r w:rsidR="00552974" w:rsidRPr="000F0089">
        <w:rPr>
          <w:rFonts w:asciiTheme="minorHAnsi" w:hAnsiTheme="minorHAnsi" w:cs="Arial"/>
        </w:rPr>
        <w:t>, centrifuged,</w:t>
      </w:r>
      <w:r w:rsidR="00C20E66" w:rsidRPr="000F0089">
        <w:rPr>
          <w:rFonts w:asciiTheme="minorHAnsi" w:hAnsiTheme="minorHAnsi" w:cs="Arial"/>
        </w:rPr>
        <w:t xml:space="preserve"> </w:t>
      </w:r>
      <w:r w:rsidR="00536E4E" w:rsidRPr="000F0089">
        <w:rPr>
          <w:rFonts w:asciiTheme="minorHAnsi" w:hAnsiTheme="minorHAnsi" w:cs="Arial"/>
        </w:rPr>
        <w:t>and frozen</w:t>
      </w:r>
      <w:r w:rsidR="00552974" w:rsidRPr="000F0089">
        <w:rPr>
          <w:rFonts w:asciiTheme="minorHAnsi" w:hAnsiTheme="minorHAnsi" w:cs="Arial"/>
        </w:rPr>
        <w:t xml:space="preserve"> </w:t>
      </w:r>
      <w:r w:rsidRPr="000F0089">
        <w:rPr>
          <w:rFonts w:asciiTheme="minorHAnsi" w:hAnsiTheme="minorHAnsi" w:cs="Arial"/>
        </w:rPr>
        <w:t>at −20°C</w:t>
      </w:r>
      <w:r w:rsidR="00552974" w:rsidRPr="000F0089">
        <w:rPr>
          <w:rFonts w:asciiTheme="minorHAnsi" w:hAnsiTheme="minorHAnsi" w:cs="Arial"/>
        </w:rPr>
        <w:t>. These samples were intended for batch testing related to the clinical trial</w:t>
      </w:r>
      <w:r w:rsidR="00536E4E" w:rsidRPr="000F0089">
        <w:rPr>
          <w:rFonts w:asciiTheme="minorHAnsi" w:hAnsiTheme="minorHAnsi" w:cs="Arial"/>
        </w:rPr>
        <w:t>. F</w:t>
      </w:r>
      <w:r w:rsidR="00C20E66" w:rsidRPr="000F0089">
        <w:rPr>
          <w:rFonts w:asciiTheme="minorHAnsi" w:hAnsiTheme="minorHAnsi" w:cs="Arial"/>
        </w:rPr>
        <w:t xml:space="preserve">or the </w:t>
      </w:r>
      <w:proofErr w:type="spellStart"/>
      <w:r w:rsidR="00C20E66" w:rsidRPr="000F0089">
        <w:rPr>
          <w:rFonts w:asciiTheme="minorHAnsi" w:hAnsiTheme="minorHAnsi" w:cs="Arial"/>
        </w:rPr>
        <w:t>striational</w:t>
      </w:r>
      <w:proofErr w:type="spellEnd"/>
      <w:r w:rsidR="00C20E66" w:rsidRPr="000F0089">
        <w:rPr>
          <w:rFonts w:asciiTheme="minorHAnsi" w:hAnsiTheme="minorHAnsi" w:cs="Arial"/>
        </w:rPr>
        <w:t xml:space="preserve"> muscle antibody </w:t>
      </w:r>
      <w:r w:rsidR="00536E4E" w:rsidRPr="000F0089">
        <w:rPr>
          <w:rFonts w:asciiTheme="minorHAnsi" w:hAnsiTheme="minorHAnsi" w:cs="Arial"/>
        </w:rPr>
        <w:t xml:space="preserve">assay, specimen stability in </w:t>
      </w:r>
      <w:r w:rsidR="00552974" w:rsidRPr="000F0089">
        <w:rPr>
          <w:rFonts w:asciiTheme="minorHAnsi" w:hAnsiTheme="minorHAnsi" w:cs="Arial"/>
        </w:rPr>
        <w:t xml:space="preserve">frozen </w:t>
      </w:r>
      <w:r w:rsidR="00536E4E" w:rsidRPr="000F0089">
        <w:rPr>
          <w:rFonts w:asciiTheme="minorHAnsi" w:hAnsiTheme="minorHAnsi" w:cs="Arial"/>
        </w:rPr>
        <w:t>storage ha</w:t>
      </w:r>
      <w:r w:rsidR="00647F07" w:rsidRPr="000F0089">
        <w:rPr>
          <w:rFonts w:asciiTheme="minorHAnsi" w:hAnsiTheme="minorHAnsi" w:cs="Arial"/>
        </w:rPr>
        <w:t>s</w:t>
      </w:r>
      <w:r w:rsidR="00536E4E" w:rsidRPr="000F0089">
        <w:rPr>
          <w:rFonts w:asciiTheme="minorHAnsi" w:hAnsiTheme="minorHAnsi" w:cs="Arial"/>
        </w:rPr>
        <w:t xml:space="preserve"> a preferred </w:t>
      </w:r>
      <w:r w:rsidR="00C20E66" w:rsidRPr="000F0089">
        <w:rPr>
          <w:rFonts w:asciiTheme="minorHAnsi" w:hAnsiTheme="minorHAnsi" w:cs="Arial"/>
        </w:rPr>
        <w:t xml:space="preserve">optimal </w:t>
      </w:r>
      <w:r w:rsidR="00536E4E" w:rsidRPr="000F0089">
        <w:rPr>
          <w:rFonts w:asciiTheme="minorHAnsi" w:hAnsiTheme="minorHAnsi" w:cs="Arial"/>
        </w:rPr>
        <w:t xml:space="preserve">duration of </w:t>
      </w:r>
      <w:r w:rsidR="00C20E66" w:rsidRPr="000F0089">
        <w:rPr>
          <w:rFonts w:asciiTheme="minorHAnsi" w:hAnsiTheme="minorHAnsi" w:cs="Arial"/>
        </w:rPr>
        <w:t xml:space="preserve">360 days or less, provided </w:t>
      </w:r>
      <w:r w:rsidR="00647F07" w:rsidRPr="000F0089">
        <w:rPr>
          <w:rFonts w:asciiTheme="minorHAnsi" w:hAnsiTheme="minorHAnsi" w:cs="Arial"/>
        </w:rPr>
        <w:t>there are no</w:t>
      </w:r>
      <w:r w:rsidR="00C20E66" w:rsidRPr="000F0089">
        <w:rPr>
          <w:rFonts w:asciiTheme="minorHAnsi" w:hAnsiTheme="minorHAnsi" w:cs="Arial"/>
        </w:rPr>
        <w:t xml:space="preserve"> repeated freeze/thaw cycles.</w:t>
      </w:r>
      <w:r w:rsidR="00536E4E" w:rsidRPr="000F0089">
        <w:rPr>
          <w:rFonts w:asciiTheme="minorHAnsi" w:hAnsiTheme="minorHAnsi" w:cs="Arial"/>
        </w:rPr>
        <w:t xml:space="preserve"> </w:t>
      </w:r>
      <w:r w:rsidR="00C20E66" w:rsidRPr="000F0089">
        <w:rPr>
          <w:rFonts w:asciiTheme="minorHAnsi" w:hAnsiTheme="minorHAnsi" w:cs="Arial"/>
        </w:rPr>
        <w:t>I</w:t>
      </w:r>
      <w:r w:rsidR="00536E4E" w:rsidRPr="000F0089">
        <w:rPr>
          <w:rFonts w:asciiTheme="minorHAnsi" w:hAnsiTheme="minorHAnsi" w:cs="Arial"/>
        </w:rPr>
        <w:t>n our case</w:t>
      </w:r>
      <w:r w:rsidR="00C20E66" w:rsidRPr="000F0089">
        <w:rPr>
          <w:rFonts w:asciiTheme="minorHAnsi" w:hAnsiTheme="minorHAnsi" w:cs="Arial"/>
        </w:rPr>
        <w:t>,</w:t>
      </w:r>
      <w:r w:rsidR="00536E4E" w:rsidRPr="000F0089">
        <w:rPr>
          <w:rFonts w:asciiTheme="minorHAnsi" w:hAnsiTheme="minorHAnsi" w:cs="Arial"/>
        </w:rPr>
        <w:t xml:space="preserve"> the archival</w:t>
      </w:r>
      <w:r w:rsidR="00C20E66" w:rsidRPr="000F0089">
        <w:rPr>
          <w:rFonts w:asciiTheme="minorHAnsi" w:hAnsiTheme="minorHAnsi" w:cs="Arial"/>
        </w:rPr>
        <w:t xml:space="preserve"> pretreatment serum had been frozen in </w:t>
      </w:r>
      <w:r w:rsidR="00536E4E" w:rsidRPr="000F0089">
        <w:rPr>
          <w:rFonts w:asciiTheme="minorHAnsi" w:hAnsiTheme="minorHAnsi" w:cs="Arial"/>
        </w:rPr>
        <w:t xml:space="preserve">storage for </w:t>
      </w:r>
      <w:r w:rsidR="00C20E66" w:rsidRPr="000F0089">
        <w:rPr>
          <w:rFonts w:asciiTheme="minorHAnsi" w:hAnsiTheme="minorHAnsi" w:cs="Arial"/>
        </w:rPr>
        <w:t xml:space="preserve">approximately 47 days. </w:t>
      </w:r>
      <w:r w:rsidRPr="000F0089">
        <w:rPr>
          <w:rFonts w:asciiTheme="minorHAnsi" w:hAnsiTheme="minorHAnsi" w:cs="Arial"/>
        </w:rPr>
        <w:t>The Day +37 sample was also collected in an SST, centrifuged, and refrigerated at 2- 8 °C prior to testing.</w:t>
      </w:r>
      <w:r>
        <w:rPr>
          <w:rFonts w:asciiTheme="minorHAnsi" w:hAnsiTheme="minorHAnsi" w:cs="Arial"/>
        </w:rPr>
        <w:t xml:space="preserve"> </w:t>
      </w:r>
      <w:r w:rsidR="00647F07" w:rsidRPr="0016365B">
        <w:rPr>
          <w:rFonts w:asciiTheme="minorHAnsi" w:hAnsiTheme="minorHAnsi" w:cs="Arial"/>
        </w:rPr>
        <w:t>Testing was performed on patient serum diluted in PBS.</w:t>
      </w:r>
    </w:p>
    <w:p w:rsidR="00AD4A83" w:rsidRPr="0016365B" w:rsidRDefault="00AD4A83" w:rsidP="00AD4A83">
      <w:pPr>
        <w:spacing w:after="0" w:line="480" w:lineRule="auto"/>
        <w:rPr>
          <w:rFonts w:asciiTheme="minorHAnsi" w:hAnsiTheme="minorHAnsi" w:cs="Arial"/>
          <w:u w:val="single"/>
        </w:rPr>
      </w:pPr>
      <w:r w:rsidRPr="0016365B">
        <w:rPr>
          <w:rFonts w:asciiTheme="minorHAnsi" w:hAnsiTheme="minorHAnsi" w:cs="Arial"/>
        </w:rPr>
        <w:t xml:space="preserve">Reagents included anti-striated muscle antibody (ASM-ab) (ARUP: 0050746), acetylcholine receptor (AChR) antibody (ARUP: 0099580), AChR bind antibody (ARUP: 0080009), anti-voltage gated calcium channel (VGCC) antibody (KRONUS: KR6560), and anti-muscle specific kinase (MuSK) antibody (Athena: 482). Test slides were incubated in a moist chamber at room temperature and then washed x2 in phosphate buffered saline (PBS) chamber. One drop of conjugate was applied to each antigen well and then samples were incubated again in a moist chamber at room temperature and washed x2 in PBS </w:t>
      </w:r>
      <w:r w:rsidRPr="0016365B">
        <w:rPr>
          <w:rFonts w:asciiTheme="minorHAnsi" w:hAnsiTheme="minorHAnsi" w:cs="Arial"/>
        </w:rPr>
        <w:lastRenderedPageBreak/>
        <w:t>chamber. Samples were then mounted and read with a fluorescence microscope.</w:t>
      </w:r>
      <w:r w:rsidR="00536E4E">
        <w:rPr>
          <w:rFonts w:asciiTheme="minorHAnsi" w:hAnsiTheme="minorHAnsi" w:cs="Arial"/>
        </w:rPr>
        <w:t xml:space="preserve"> Results were expressed antibody titer, specifically </w:t>
      </w:r>
      <w:r w:rsidR="00536E4E" w:rsidRPr="00536E4E">
        <w:rPr>
          <w:rFonts w:asciiTheme="minorHAnsi" w:hAnsiTheme="minorHAnsi" w:cs="Arial"/>
        </w:rPr>
        <w:t>the greatest dilution at which the optical density of the reaction product is &gt;1.50 x the mean</w:t>
      </w:r>
      <w:r w:rsidR="00536E4E">
        <w:rPr>
          <w:rFonts w:asciiTheme="minorHAnsi" w:hAnsiTheme="minorHAnsi" w:cs="Arial"/>
        </w:rPr>
        <w:t xml:space="preserve"> value of 4 normal control sera.</w:t>
      </w:r>
    </w:p>
    <w:p w:rsidR="00AD4A83" w:rsidRPr="0016365B" w:rsidRDefault="00AD4A83" w:rsidP="0016365B">
      <w:pPr>
        <w:tabs>
          <w:tab w:val="center" w:pos="4680"/>
        </w:tabs>
        <w:rPr>
          <w:rFonts w:asciiTheme="minorHAnsi" w:hAnsiTheme="minorHAnsi" w:cs="Arial"/>
          <w:b/>
          <w:i/>
        </w:rPr>
      </w:pPr>
      <w:r w:rsidRPr="0016365B">
        <w:rPr>
          <w:rFonts w:asciiTheme="minorHAnsi" w:hAnsiTheme="minorHAnsi" w:cs="Arial"/>
          <w:b/>
          <w:i/>
        </w:rPr>
        <w:t>Computed Tomography (CT)</w:t>
      </w:r>
      <w:r w:rsidR="0016365B" w:rsidRPr="0016365B">
        <w:rPr>
          <w:rFonts w:asciiTheme="minorHAnsi" w:hAnsiTheme="minorHAnsi" w:cs="Arial"/>
          <w:b/>
          <w:i/>
        </w:rPr>
        <w:tab/>
      </w:r>
    </w:p>
    <w:p w:rsidR="00AD4A83" w:rsidRPr="0016365B" w:rsidRDefault="00AD4A83" w:rsidP="00AD4A83">
      <w:pPr>
        <w:spacing w:after="0" w:line="480" w:lineRule="auto"/>
        <w:rPr>
          <w:rFonts w:asciiTheme="minorHAnsi" w:hAnsiTheme="minorHAnsi" w:cs="Arial"/>
        </w:rPr>
      </w:pPr>
      <w:r w:rsidRPr="0016365B">
        <w:rPr>
          <w:rFonts w:asciiTheme="minorHAnsi" w:hAnsiTheme="minorHAnsi" w:cs="Arial"/>
        </w:rPr>
        <w:t xml:space="preserve">Axial Images were obtained on a standard-definition multi-slice 64-detector row scanner (Siemens Medical Solutions, Erlangen, Germany). Slices of 2.5 mm thickness through the chest, abdomen and pelvis were collected after the administration of non-ionic </w:t>
      </w:r>
      <w:proofErr w:type="spellStart"/>
      <w:r w:rsidRPr="0016365B">
        <w:rPr>
          <w:rFonts w:asciiTheme="minorHAnsi" w:hAnsiTheme="minorHAnsi" w:cs="Arial"/>
        </w:rPr>
        <w:t>iohexol</w:t>
      </w:r>
      <w:proofErr w:type="spellEnd"/>
      <w:r w:rsidRPr="0016365B">
        <w:rPr>
          <w:rFonts w:asciiTheme="minorHAnsi" w:hAnsiTheme="minorHAnsi" w:cs="Arial"/>
        </w:rPr>
        <w:t xml:space="preserve"> intravenous contrast (</w:t>
      </w:r>
      <w:proofErr w:type="spellStart"/>
      <w:r w:rsidRPr="0016365B">
        <w:rPr>
          <w:rFonts w:asciiTheme="minorHAnsi" w:hAnsiTheme="minorHAnsi" w:cs="Arial"/>
        </w:rPr>
        <w:t>Omnipaque</w:t>
      </w:r>
      <w:proofErr w:type="spellEnd"/>
      <w:r w:rsidRPr="0016365B">
        <w:rPr>
          <w:rFonts w:asciiTheme="minorHAnsi" w:hAnsiTheme="minorHAnsi" w:cs="Arial"/>
        </w:rPr>
        <w:t xml:space="preserve">; GE healthcare). </w:t>
      </w:r>
    </w:p>
    <w:p w:rsidR="00AD4A83" w:rsidRPr="0016365B" w:rsidRDefault="00AD4A83" w:rsidP="00AD4A83">
      <w:pPr>
        <w:spacing w:after="0" w:line="480" w:lineRule="auto"/>
        <w:rPr>
          <w:rFonts w:asciiTheme="minorHAnsi" w:hAnsiTheme="minorHAnsi" w:cs="Arial"/>
        </w:rPr>
      </w:pPr>
      <w:r w:rsidRPr="0016365B">
        <w:rPr>
          <w:rFonts w:asciiTheme="minorHAnsi" w:hAnsiTheme="minorHAnsi" w:cs="Arial"/>
        </w:rPr>
        <w:t xml:space="preserve">Tumor measurement adhered to RECIST v1.1 criteria, with a procedural modification. Since three separate omental tumor nodules were measurable, all were included as target lesions. </w:t>
      </w:r>
    </w:p>
    <w:p w:rsidR="00AD4A83" w:rsidRPr="0016365B" w:rsidRDefault="00AD4A83" w:rsidP="00AD4A83">
      <w:pPr>
        <w:spacing w:after="0" w:line="480" w:lineRule="auto"/>
        <w:rPr>
          <w:rFonts w:asciiTheme="minorHAnsi" w:hAnsiTheme="minorHAnsi" w:cs="Arial"/>
          <w:b/>
          <w:i/>
        </w:rPr>
      </w:pPr>
      <w:r w:rsidRPr="0016365B">
        <w:rPr>
          <w:rFonts w:asciiTheme="minorHAnsi" w:hAnsiTheme="minorHAnsi" w:cs="Arial"/>
          <w:b/>
          <w:i/>
        </w:rPr>
        <w:t xml:space="preserve">Immunohistochemistry: </w:t>
      </w:r>
    </w:p>
    <w:p w:rsidR="000F0089" w:rsidRDefault="00AD4A83" w:rsidP="00AD4A83">
      <w:pPr>
        <w:spacing w:after="0" w:line="480" w:lineRule="auto"/>
        <w:rPr>
          <w:rFonts w:asciiTheme="minorHAnsi" w:hAnsiTheme="minorHAnsi" w:cs="Arial"/>
        </w:rPr>
      </w:pPr>
      <w:r w:rsidRPr="0016365B">
        <w:rPr>
          <w:rFonts w:asciiTheme="minorHAnsi" w:hAnsiTheme="minorHAnsi" w:cs="Arial"/>
        </w:rPr>
        <w:t xml:space="preserve">Autopsy tissue was collected and preserved in formalin. Suitable areas were selected by a pathologist and sectioned into 5 µm slides for immunohistochemistry. CD3 (Cell Marque, rabbit polyclonal), </w:t>
      </w:r>
      <w:proofErr w:type="spellStart"/>
      <w:r w:rsidRPr="0016365B">
        <w:rPr>
          <w:rFonts w:asciiTheme="minorHAnsi" w:hAnsiTheme="minorHAnsi" w:cs="Arial"/>
        </w:rPr>
        <w:t>CD4</w:t>
      </w:r>
      <w:proofErr w:type="spellEnd"/>
      <w:r w:rsidRPr="0016365B">
        <w:rPr>
          <w:rFonts w:asciiTheme="minorHAnsi" w:hAnsiTheme="minorHAnsi" w:cs="Arial"/>
        </w:rPr>
        <w:t xml:space="preserve"> (</w:t>
      </w:r>
      <w:proofErr w:type="spellStart"/>
      <w:r w:rsidRPr="0016365B">
        <w:rPr>
          <w:rFonts w:asciiTheme="minorHAnsi" w:hAnsiTheme="minorHAnsi" w:cs="Arial"/>
        </w:rPr>
        <w:t>Genetex</w:t>
      </w:r>
      <w:proofErr w:type="spellEnd"/>
      <w:r w:rsidRPr="0016365B">
        <w:rPr>
          <w:rFonts w:asciiTheme="minorHAnsi" w:hAnsiTheme="minorHAnsi" w:cs="Arial"/>
        </w:rPr>
        <w:t xml:space="preserve">, mouse monoclonal), </w:t>
      </w:r>
      <w:proofErr w:type="spellStart"/>
      <w:r w:rsidRPr="0016365B">
        <w:rPr>
          <w:rFonts w:asciiTheme="minorHAnsi" w:hAnsiTheme="minorHAnsi" w:cs="Arial"/>
        </w:rPr>
        <w:t>CD8</w:t>
      </w:r>
      <w:proofErr w:type="spellEnd"/>
      <w:r w:rsidRPr="0016365B">
        <w:rPr>
          <w:rFonts w:asciiTheme="minorHAnsi" w:hAnsiTheme="minorHAnsi" w:cs="Arial"/>
        </w:rPr>
        <w:t xml:space="preserve"> (Cell Marque, mouse monoclonal), </w:t>
      </w:r>
      <w:proofErr w:type="spellStart"/>
      <w:r w:rsidRPr="0016365B">
        <w:rPr>
          <w:rFonts w:asciiTheme="minorHAnsi" w:hAnsiTheme="minorHAnsi" w:cs="Arial"/>
        </w:rPr>
        <w:t>CD68</w:t>
      </w:r>
      <w:proofErr w:type="spellEnd"/>
      <w:r w:rsidRPr="0016365B">
        <w:rPr>
          <w:rFonts w:asciiTheme="minorHAnsi" w:hAnsiTheme="minorHAnsi" w:cs="Arial"/>
        </w:rPr>
        <w:t xml:space="preserve"> (</w:t>
      </w:r>
      <w:proofErr w:type="spellStart"/>
      <w:r w:rsidRPr="0016365B">
        <w:rPr>
          <w:rFonts w:asciiTheme="minorHAnsi" w:hAnsiTheme="minorHAnsi" w:cs="Arial"/>
        </w:rPr>
        <w:t>Ventana</w:t>
      </w:r>
      <w:proofErr w:type="spellEnd"/>
      <w:r w:rsidRPr="0016365B">
        <w:rPr>
          <w:rFonts w:asciiTheme="minorHAnsi" w:hAnsiTheme="minorHAnsi" w:cs="Arial"/>
        </w:rPr>
        <w:t>, mouse monoclonal), PD-</w:t>
      </w:r>
      <w:proofErr w:type="spellStart"/>
      <w:r w:rsidRPr="0016365B">
        <w:rPr>
          <w:rFonts w:asciiTheme="minorHAnsi" w:hAnsiTheme="minorHAnsi" w:cs="Arial"/>
        </w:rPr>
        <w:t>L1</w:t>
      </w:r>
      <w:proofErr w:type="spellEnd"/>
      <w:r w:rsidRPr="0016365B">
        <w:rPr>
          <w:rFonts w:asciiTheme="minorHAnsi" w:hAnsiTheme="minorHAnsi" w:cs="Arial"/>
        </w:rPr>
        <w:t xml:space="preserve"> (Sino, rabbit polyclonal), CTLA-4 (Santa Cruz, mouse monoclonal) were performed with </w:t>
      </w:r>
      <w:proofErr w:type="spellStart"/>
      <w:r w:rsidRPr="0016365B">
        <w:rPr>
          <w:rFonts w:asciiTheme="minorHAnsi" w:hAnsiTheme="minorHAnsi" w:cs="Arial"/>
        </w:rPr>
        <w:t>Dako</w:t>
      </w:r>
      <w:proofErr w:type="spellEnd"/>
      <w:r w:rsidRPr="0016365B">
        <w:rPr>
          <w:rFonts w:asciiTheme="minorHAnsi" w:hAnsiTheme="minorHAnsi" w:cs="Arial"/>
        </w:rPr>
        <w:t xml:space="preserve"> Link 48 </w:t>
      </w:r>
      <w:proofErr w:type="spellStart"/>
      <w:r w:rsidRPr="0016365B">
        <w:rPr>
          <w:rFonts w:asciiTheme="minorHAnsi" w:hAnsiTheme="minorHAnsi" w:cs="Arial"/>
        </w:rPr>
        <w:t>autostainer</w:t>
      </w:r>
      <w:proofErr w:type="spellEnd"/>
      <w:r w:rsidRPr="0016365B">
        <w:rPr>
          <w:rFonts w:asciiTheme="minorHAnsi" w:hAnsiTheme="minorHAnsi" w:cs="Arial"/>
        </w:rPr>
        <w:t xml:space="preserve"> after high pH heat induced epitope retrieval (HIER) digestion. Formalin fixed paraffin embedded tissue sections run through </w:t>
      </w:r>
      <w:proofErr w:type="spellStart"/>
      <w:r w:rsidRPr="0016365B">
        <w:rPr>
          <w:rFonts w:asciiTheme="minorHAnsi" w:hAnsiTheme="minorHAnsi" w:cs="Arial"/>
        </w:rPr>
        <w:t>Leica</w:t>
      </w:r>
      <w:proofErr w:type="spellEnd"/>
      <w:r w:rsidRPr="0016365B">
        <w:rPr>
          <w:rFonts w:asciiTheme="minorHAnsi" w:hAnsiTheme="minorHAnsi" w:cs="Arial"/>
        </w:rPr>
        <w:t xml:space="preserve"> Jung </w:t>
      </w:r>
      <w:proofErr w:type="spellStart"/>
      <w:r w:rsidRPr="0016365B">
        <w:rPr>
          <w:rFonts w:asciiTheme="minorHAnsi" w:hAnsiTheme="minorHAnsi" w:cs="Arial"/>
        </w:rPr>
        <w:t>Autostainer</w:t>
      </w:r>
      <w:proofErr w:type="spellEnd"/>
      <w:r w:rsidRPr="0016365B">
        <w:rPr>
          <w:rFonts w:asciiTheme="minorHAnsi" w:hAnsiTheme="minorHAnsi" w:cs="Arial"/>
        </w:rPr>
        <w:t xml:space="preserve"> XL using Program 1 (routine H&amp;E stain) with Eosin Y (Sigma-Aldrich: E4382) and Harris Hematoxylin (Poly Scientific: S212) reagents. </w:t>
      </w:r>
    </w:p>
    <w:p w:rsidR="00AD4A83" w:rsidRPr="0016365B" w:rsidRDefault="000F0089" w:rsidP="00AD4A83">
      <w:pPr>
        <w:spacing w:after="0" w:line="480" w:lineRule="auto"/>
        <w:rPr>
          <w:rFonts w:asciiTheme="minorHAnsi" w:hAnsiTheme="minorHAnsi" w:cs="Arial"/>
        </w:rPr>
      </w:pPr>
      <w:r w:rsidRPr="000F0089">
        <w:rPr>
          <w:rFonts w:asciiTheme="minorHAnsi" w:hAnsiTheme="minorHAnsi" w:cs="Arial"/>
          <w:highlight w:val="yellow"/>
        </w:rPr>
        <w:t>For CD3, CD4, CD8, and CD68</w:t>
      </w:r>
      <w:r w:rsidR="00D20B62">
        <w:rPr>
          <w:rFonts w:asciiTheme="minorHAnsi" w:hAnsiTheme="minorHAnsi" w:cs="Arial"/>
          <w:highlight w:val="yellow"/>
        </w:rPr>
        <w:t xml:space="preserve"> glycoprotein antibodies</w:t>
      </w:r>
      <w:r w:rsidRPr="000F0089">
        <w:rPr>
          <w:rFonts w:asciiTheme="minorHAnsi" w:hAnsiTheme="minorHAnsi" w:cs="Arial"/>
          <w:highlight w:val="yellow"/>
        </w:rPr>
        <w:t>, positive controls were performed upon benign lymph node tissue obtai</w:t>
      </w:r>
      <w:bookmarkStart w:id="0" w:name="_GoBack"/>
      <w:bookmarkEnd w:id="0"/>
      <w:r w:rsidRPr="000F0089">
        <w:rPr>
          <w:rFonts w:asciiTheme="minorHAnsi" w:hAnsiTheme="minorHAnsi" w:cs="Arial"/>
          <w:highlight w:val="yellow"/>
        </w:rPr>
        <w:t xml:space="preserve">ned using the </w:t>
      </w:r>
      <w:r>
        <w:rPr>
          <w:rFonts w:asciiTheme="minorHAnsi" w:hAnsiTheme="minorHAnsi" w:cs="Arial"/>
          <w:highlight w:val="yellow"/>
        </w:rPr>
        <w:t>same fixation and retrievals methods</w:t>
      </w:r>
      <w:r w:rsidRPr="000F0089">
        <w:rPr>
          <w:rFonts w:asciiTheme="minorHAnsi" w:hAnsiTheme="minorHAnsi" w:cs="Arial"/>
          <w:highlight w:val="yellow"/>
        </w:rPr>
        <w:t xml:space="preserve"> as described above.</w:t>
      </w:r>
      <w:r>
        <w:rPr>
          <w:rFonts w:asciiTheme="minorHAnsi" w:hAnsiTheme="minorHAnsi" w:cs="Arial"/>
        </w:rPr>
        <w:t xml:space="preserve">  </w:t>
      </w:r>
      <w:r w:rsidRPr="000F0089">
        <w:rPr>
          <w:rFonts w:asciiTheme="minorHAnsi" w:hAnsiTheme="minorHAnsi" w:cs="Arial"/>
          <w:highlight w:val="yellow"/>
        </w:rPr>
        <w:t xml:space="preserve">Likewise, negative controls were performed upon benign smooth muscle tissue </w:t>
      </w:r>
      <w:r>
        <w:rPr>
          <w:rFonts w:asciiTheme="minorHAnsi" w:hAnsiTheme="minorHAnsi" w:cs="Arial"/>
          <w:highlight w:val="yellow"/>
        </w:rPr>
        <w:t xml:space="preserve">obtained using identical </w:t>
      </w:r>
      <w:r w:rsidRPr="000F0089">
        <w:rPr>
          <w:rFonts w:asciiTheme="minorHAnsi" w:hAnsiTheme="minorHAnsi" w:cs="Arial"/>
          <w:highlight w:val="yellow"/>
        </w:rPr>
        <w:t xml:space="preserve">methodology. These controls are reported in </w:t>
      </w:r>
      <w:r w:rsidRPr="000F0089">
        <w:rPr>
          <w:rFonts w:asciiTheme="minorHAnsi" w:hAnsiTheme="minorHAnsi" w:cs="Arial"/>
          <w:b/>
          <w:color w:val="4F81BD" w:themeColor="accent1"/>
          <w:highlight w:val="yellow"/>
        </w:rPr>
        <w:t>Supplemental Figure 1</w:t>
      </w:r>
      <w:r w:rsidRPr="000F0089">
        <w:rPr>
          <w:rFonts w:asciiTheme="minorHAnsi" w:hAnsiTheme="minorHAnsi" w:cs="Arial"/>
          <w:highlight w:val="yellow"/>
        </w:rPr>
        <w:t>.</w:t>
      </w:r>
      <w:r>
        <w:rPr>
          <w:rFonts w:asciiTheme="minorHAnsi" w:hAnsiTheme="minorHAnsi" w:cs="Arial"/>
        </w:rPr>
        <w:t xml:space="preserve"> </w:t>
      </w:r>
      <w:r w:rsidR="00AD4A83" w:rsidRPr="0016365B">
        <w:rPr>
          <w:rFonts w:asciiTheme="minorHAnsi" w:hAnsiTheme="minorHAnsi" w:cs="Arial"/>
        </w:rPr>
        <w:br/>
      </w:r>
      <w:r w:rsidR="00AD4A83" w:rsidRPr="0016365B">
        <w:rPr>
          <w:rFonts w:asciiTheme="minorHAnsi" w:hAnsiTheme="minorHAnsi" w:cs="Arial"/>
          <w:i/>
        </w:rPr>
        <w:t xml:space="preserve">For </w:t>
      </w:r>
      <w:proofErr w:type="spellStart"/>
      <w:r w:rsidR="00AD4A83" w:rsidRPr="0016365B">
        <w:rPr>
          <w:rFonts w:asciiTheme="minorHAnsi" w:hAnsiTheme="minorHAnsi" w:cs="Arial"/>
          <w:i/>
        </w:rPr>
        <w:t>Gomori’s</w:t>
      </w:r>
      <w:proofErr w:type="spellEnd"/>
      <w:r w:rsidR="00AD4A83" w:rsidRPr="0016365B">
        <w:rPr>
          <w:rFonts w:asciiTheme="minorHAnsi" w:hAnsiTheme="minorHAnsi" w:cs="Arial"/>
          <w:i/>
        </w:rPr>
        <w:t xml:space="preserve"> </w:t>
      </w:r>
      <w:proofErr w:type="spellStart"/>
      <w:r w:rsidR="00AD4A83" w:rsidRPr="0016365B">
        <w:rPr>
          <w:rFonts w:asciiTheme="minorHAnsi" w:hAnsiTheme="minorHAnsi" w:cs="Arial"/>
          <w:i/>
        </w:rPr>
        <w:t>trichrome</w:t>
      </w:r>
      <w:proofErr w:type="spellEnd"/>
      <w:r w:rsidR="00AD4A83" w:rsidRPr="0016365B">
        <w:rPr>
          <w:rFonts w:asciiTheme="minorHAnsi" w:hAnsiTheme="minorHAnsi" w:cs="Arial"/>
          <w:i/>
        </w:rPr>
        <w:t>:</w:t>
      </w:r>
      <w:r w:rsidR="00AD4A83" w:rsidRPr="0016365B">
        <w:rPr>
          <w:rFonts w:asciiTheme="minorHAnsi" w:hAnsiTheme="minorHAnsi" w:cs="Arial"/>
        </w:rPr>
        <w:t xml:space="preserve"> fresh, unfixed snap frozen striated muscle specimens were incubated in Harris Hematoxylin and then rinsed with water. Samples were stained in </w:t>
      </w:r>
      <w:proofErr w:type="spellStart"/>
      <w:r w:rsidR="00AD4A83" w:rsidRPr="0016365B">
        <w:rPr>
          <w:rFonts w:asciiTheme="minorHAnsi" w:hAnsiTheme="minorHAnsi" w:cs="Arial"/>
        </w:rPr>
        <w:t>Gomori’s</w:t>
      </w:r>
      <w:proofErr w:type="spellEnd"/>
      <w:r w:rsidR="00AD4A83" w:rsidRPr="0016365B">
        <w:rPr>
          <w:rFonts w:asciiTheme="minorHAnsi" w:hAnsiTheme="minorHAnsi" w:cs="Arial"/>
        </w:rPr>
        <w:t xml:space="preserve"> </w:t>
      </w:r>
      <w:proofErr w:type="spellStart"/>
      <w:r w:rsidR="00AD4A83" w:rsidRPr="0016365B">
        <w:rPr>
          <w:rFonts w:asciiTheme="minorHAnsi" w:hAnsiTheme="minorHAnsi" w:cs="Arial"/>
        </w:rPr>
        <w:t>trichrome</w:t>
      </w:r>
      <w:proofErr w:type="spellEnd"/>
      <w:r w:rsidR="00AD4A83" w:rsidRPr="0016365B">
        <w:rPr>
          <w:rFonts w:asciiTheme="minorHAnsi" w:hAnsiTheme="minorHAnsi" w:cs="Arial"/>
        </w:rPr>
        <w:t xml:space="preserve"> (Fast Green, FCF - </w:t>
      </w:r>
      <w:r w:rsidR="00AD4A83" w:rsidRPr="0016365B">
        <w:rPr>
          <w:rFonts w:asciiTheme="minorHAnsi" w:hAnsiTheme="minorHAnsi" w:cs="Arial"/>
        </w:rPr>
        <w:lastRenderedPageBreak/>
        <w:t xml:space="preserve">Mallinckrodt: </w:t>
      </w:r>
      <w:proofErr w:type="spellStart"/>
      <w:r w:rsidR="00AD4A83" w:rsidRPr="0016365B">
        <w:rPr>
          <w:rFonts w:asciiTheme="minorHAnsi" w:hAnsiTheme="minorHAnsi" w:cs="Arial"/>
        </w:rPr>
        <w:t>E605</w:t>
      </w:r>
      <w:proofErr w:type="spellEnd"/>
      <w:r w:rsidR="00AD4A83" w:rsidRPr="0016365B">
        <w:rPr>
          <w:rFonts w:asciiTheme="minorHAnsi" w:hAnsiTheme="minorHAnsi" w:cs="Arial"/>
        </w:rPr>
        <w:t xml:space="preserve">; </w:t>
      </w:r>
      <w:proofErr w:type="spellStart"/>
      <w:r w:rsidR="00AD4A83" w:rsidRPr="0016365B">
        <w:rPr>
          <w:rFonts w:asciiTheme="minorHAnsi" w:hAnsiTheme="minorHAnsi" w:cs="Arial"/>
        </w:rPr>
        <w:t>Chromotrope</w:t>
      </w:r>
      <w:proofErr w:type="spellEnd"/>
      <w:r w:rsidR="00AD4A83" w:rsidRPr="0016365B">
        <w:rPr>
          <w:rFonts w:asciiTheme="minorHAnsi" w:hAnsiTheme="minorHAnsi" w:cs="Arial"/>
        </w:rPr>
        <w:t xml:space="preserve"> </w:t>
      </w:r>
      <w:proofErr w:type="spellStart"/>
      <w:r w:rsidR="00AD4A83" w:rsidRPr="0016365B">
        <w:rPr>
          <w:rFonts w:asciiTheme="minorHAnsi" w:hAnsiTheme="minorHAnsi" w:cs="Arial"/>
        </w:rPr>
        <w:t>2R</w:t>
      </w:r>
      <w:proofErr w:type="spellEnd"/>
      <w:r w:rsidR="00AD4A83" w:rsidRPr="0016365B">
        <w:rPr>
          <w:rFonts w:asciiTheme="minorHAnsi" w:hAnsiTheme="minorHAnsi" w:cs="Arial"/>
        </w:rPr>
        <w:t xml:space="preserve"> - Sigma-Aldrich: C-3143; </w:t>
      </w:r>
      <w:proofErr w:type="spellStart"/>
      <w:r w:rsidR="00AD4A83" w:rsidRPr="0016365B">
        <w:rPr>
          <w:rFonts w:asciiTheme="minorHAnsi" w:hAnsiTheme="minorHAnsi" w:cs="Arial"/>
        </w:rPr>
        <w:t>Phosphotungstic</w:t>
      </w:r>
      <w:proofErr w:type="spellEnd"/>
      <w:r w:rsidR="00AD4A83" w:rsidRPr="0016365B">
        <w:rPr>
          <w:rFonts w:asciiTheme="minorHAnsi" w:hAnsiTheme="minorHAnsi" w:cs="Arial"/>
        </w:rPr>
        <w:t xml:space="preserve"> acid - Mallinckrodt: 2824-01; Glacial Acetic Acid - Macron: 8817; de-ionized water (DIW)) adjusted to pH 3.4 using </w:t>
      </w:r>
      <w:proofErr w:type="spellStart"/>
      <w:r w:rsidR="00AD4A83" w:rsidRPr="0016365B">
        <w:rPr>
          <w:rFonts w:asciiTheme="minorHAnsi" w:hAnsiTheme="minorHAnsi" w:cs="Arial"/>
        </w:rPr>
        <w:t>1N</w:t>
      </w:r>
      <w:proofErr w:type="spellEnd"/>
      <w:r w:rsidR="00AD4A83" w:rsidRPr="0016365B">
        <w:rPr>
          <w:rFonts w:asciiTheme="minorHAnsi" w:hAnsiTheme="minorHAnsi" w:cs="Arial"/>
        </w:rPr>
        <w:t xml:space="preserve"> </w:t>
      </w:r>
      <w:proofErr w:type="spellStart"/>
      <w:r w:rsidR="00AD4A83" w:rsidRPr="0016365B">
        <w:rPr>
          <w:rFonts w:asciiTheme="minorHAnsi" w:hAnsiTheme="minorHAnsi" w:cs="Arial"/>
        </w:rPr>
        <w:t>NaOH</w:t>
      </w:r>
      <w:proofErr w:type="spellEnd"/>
      <w:r w:rsidR="00AD4A83" w:rsidRPr="0016365B">
        <w:rPr>
          <w:rFonts w:asciiTheme="minorHAnsi" w:hAnsiTheme="minorHAnsi" w:cs="Arial"/>
        </w:rPr>
        <w:t xml:space="preserve">. </w:t>
      </w:r>
    </w:p>
    <w:p w:rsidR="00AD4A83" w:rsidRPr="0016365B" w:rsidRDefault="00AD4A83" w:rsidP="00AD4A83">
      <w:pPr>
        <w:spacing w:after="0" w:line="480" w:lineRule="auto"/>
        <w:rPr>
          <w:rFonts w:asciiTheme="minorHAnsi" w:hAnsiTheme="minorHAnsi" w:cs="Arial"/>
        </w:rPr>
      </w:pPr>
      <w:r w:rsidRPr="0016365B">
        <w:rPr>
          <w:rFonts w:asciiTheme="minorHAnsi" w:hAnsiTheme="minorHAnsi" w:cs="Arial"/>
          <w:i/>
        </w:rPr>
        <w:t>For ATPase:</w:t>
      </w:r>
      <w:r w:rsidRPr="0016365B">
        <w:rPr>
          <w:rFonts w:asciiTheme="minorHAnsi" w:hAnsiTheme="minorHAnsi" w:cs="Arial"/>
        </w:rPr>
        <w:t xml:space="preserve"> fresh, unfixed striated muscle specimens snap frozen in 2-Methylbutane, sectioned adjusted to pH 9.4 with 0.1N HCL, incubated (2% Sodium Barbital; 2% Calcium Chloride; DIW; Adenosine 5’ </w:t>
      </w:r>
      <w:proofErr w:type="spellStart"/>
      <w:r w:rsidRPr="0016365B">
        <w:rPr>
          <w:rFonts w:asciiTheme="minorHAnsi" w:hAnsiTheme="minorHAnsi" w:cs="Arial"/>
        </w:rPr>
        <w:t>Triphosphate</w:t>
      </w:r>
      <w:proofErr w:type="spellEnd"/>
      <w:r w:rsidRPr="0016365B">
        <w:rPr>
          <w:rFonts w:asciiTheme="minorHAnsi" w:hAnsiTheme="minorHAnsi" w:cs="Arial"/>
        </w:rPr>
        <w:t xml:space="preserve"> - MP </w:t>
      </w:r>
      <w:proofErr w:type="spellStart"/>
      <w:r w:rsidRPr="0016365B">
        <w:rPr>
          <w:rFonts w:asciiTheme="minorHAnsi" w:hAnsiTheme="minorHAnsi" w:cs="Arial"/>
        </w:rPr>
        <w:t>Biomedicals</w:t>
      </w:r>
      <w:proofErr w:type="spellEnd"/>
      <w:r w:rsidRPr="0016365B">
        <w:rPr>
          <w:rFonts w:asciiTheme="minorHAnsi" w:hAnsiTheme="minorHAnsi" w:cs="Arial"/>
        </w:rPr>
        <w:t xml:space="preserve"> LLC: 05213412) for 20 min. and rinsed x 3, then briefly bathed in 1% yellow ammonium sulfate (Sigma Aldrich: 12135-76-1). </w:t>
      </w:r>
    </w:p>
    <w:p w:rsidR="000853B0" w:rsidRPr="00AD4A83" w:rsidRDefault="000853B0">
      <w:pPr>
        <w:rPr>
          <w:rFonts w:ascii="Arial" w:hAnsi="Arial" w:cs="Arial"/>
        </w:rPr>
      </w:pPr>
    </w:p>
    <w:sectPr w:rsidR="000853B0" w:rsidRPr="00AD4A83" w:rsidSect="00DD24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29" w:rsidRDefault="002E1529" w:rsidP="0016365B">
      <w:pPr>
        <w:spacing w:after="0" w:line="240" w:lineRule="auto"/>
      </w:pPr>
      <w:r>
        <w:separator/>
      </w:r>
    </w:p>
  </w:endnote>
  <w:endnote w:type="continuationSeparator" w:id="0">
    <w:p w:rsidR="002E1529" w:rsidRDefault="002E1529" w:rsidP="00163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45619"/>
      <w:docPartObj>
        <w:docPartGallery w:val="Page Numbers (Bottom of Page)"/>
        <w:docPartUnique/>
      </w:docPartObj>
    </w:sdtPr>
    <w:sdtEndPr>
      <w:rPr>
        <w:noProof/>
      </w:rPr>
    </w:sdtEndPr>
    <w:sdtContent>
      <w:p w:rsidR="0016365B" w:rsidRDefault="00DD248D">
        <w:pPr>
          <w:pStyle w:val="Footer"/>
          <w:jc w:val="right"/>
        </w:pPr>
        <w:r>
          <w:fldChar w:fldCharType="begin"/>
        </w:r>
        <w:r w:rsidR="0016365B">
          <w:instrText xml:space="preserve"> PAGE   \* MERGEFORMAT </w:instrText>
        </w:r>
        <w:r>
          <w:fldChar w:fldCharType="separate"/>
        </w:r>
        <w:r w:rsidR="00BC296F">
          <w:rPr>
            <w:noProof/>
          </w:rPr>
          <w:t>1</w:t>
        </w:r>
        <w:r>
          <w:rPr>
            <w:noProof/>
          </w:rPr>
          <w:fldChar w:fldCharType="end"/>
        </w:r>
      </w:p>
    </w:sdtContent>
  </w:sdt>
  <w:p w:rsidR="0016365B" w:rsidRDefault="00163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29" w:rsidRDefault="002E1529" w:rsidP="0016365B">
      <w:pPr>
        <w:spacing w:after="0" w:line="240" w:lineRule="auto"/>
      </w:pPr>
      <w:r>
        <w:separator/>
      </w:r>
    </w:p>
  </w:footnote>
  <w:footnote w:type="continuationSeparator" w:id="0">
    <w:p w:rsidR="002E1529" w:rsidRDefault="002E1529" w:rsidP="001636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docVars>
    <w:docVar w:name="Total_Editing_Time" w:val="59"/>
  </w:docVars>
  <w:rsids>
    <w:rsidRoot w:val="00AD4A83"/>
    <w:rsid w:val="000853B0"/>
    <w:rsid w:val="000F0089"/>
    <w:rsid w:val="0016365B"/>
    <w:rsid w:val="002E1529"/>
    <w:rsid w:val="002F52D3"/>
    <w:rsid w:val="004E664C"/>
    <w:rsid w:val="00536E4E"/>
    <w:rsid w:val="00552974"/>
    <w:rsid w:val="00647F07"/>
    <w:rsid w:val="008B4068"/>
    <w:rsid w:val="008C77D3"/>
    <w:rsid w:val="00905718"/>
    <w:rsid w:val="00A93913"/>
    <w:rsid w:val="00AD4A83"/>
    <w:rsid w:val="00BC296F"/>
    <w:rsid w:val="00C20E66"/>
    <w:rsid w:val="00CB750B"/>
    <w:rsid w:val="00D20B62"/>
    <w:rsid w:val="00D33B5C"/>
    <w:rsid w:val="00DD248D"/>
    <w:rsid w:val="00EE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5B"/>
    <w:rPr>
      <w:rFonts w:ascii="Calibri" w:eastAsia="Calibri" w:hAnsi="Calibri" w:cs="Times New Roman"/>
    </w:rPr>
  </w:style>
  <w:style w:type="paragraph" w:styleId="Footer">
    <w:name w:val="footer"/>
    <w:basedOn w:val="Normal"/>
    <w:link w:val="FooterChar"/>
    <w:uiPriority w:val="99"/>
    <w:unhideWhenUsed/>
    <w:rsid w:val="0016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5B"/>
    <w:rPr>
      <w:rFonts w:ascii="Calibri" w:eastAsia="Calibri" w:hAnsi="Calibri" w:cs="Times New Roman"/>
    </w:rPr>
  </w:style>
  <w:style w:type="paragraph" w:styleId="Footer">
    <w:name w:val="footer"/>
    <w:basedOn w:val="Normal"/>
    <w:link w:val="FooterChar"/>
    <w:uiPriority w:val="99"/>
    <w:unhideWhenUsed/>
    <w:rsid w:val="0016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842</Words>
  <Characters>4940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Creelan, Ben C.</dc:creator>
  <cp:lastModifiedBy>LCAYETANO</cp:lastModifiedBy>
  <cp:revision>14</cp:revision>
  <dcterms:created xsi:type="dcterms:W3CDTF">2016-09-26T22:07:00Z</dcterms:created>
  <dcterms:modified xsi:type="dcterms:W3CDTF">2017-06-15T01:35:00Z</dcterms:modified>
</cp:coreProperties>
</file>