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51"/>
        <w:tblpPr w:leftFromText="187" w:rightFromText="187" w:vertAnchor="page" w:horzAnchor="margin" w:tblpY="2363"/>
        <w:tblOverlap w:val="never"/>
        <w:tblW w:w="12697" w:type="dxa"/>
        <w:tblLayout w:type="fixed"/>
        <w:tblCellMar>
          <w:left w:w="115" w:type="dxa"/>
          <w:right w:w="115" w:type="dxa"/>
        </w:tblCellMar>
        <w:tblLook w:val="04A0" w:firstRow="1" w:lastRow="0" w:firstColumn="1" w:lastColumn="0" w:noHBand="0" w:noVBand="1"/>
      </w:tblPr>
      <w:tblGrid>
        <w:gridCol w:w="985"/>
        <w:gridCol w:w="2735"/>
        <w:gridCol w:w="7756"/>
        <w:gridCol w:w="1221"/>
      </w:tblGrid>
      <w:tr w:rsidR="001C02AB" w:rsidRPr="006646B6" w14:paraId="328E1AB5" w14:textId="77777777" w:rsidTr="001C02AB">
        <w:trPr>
          <w:cnfStyle w:val="100000000000" w:firstRow="1" w:lastRow="0" w:firstColumn="0" w:lastColumn="0" w:oddVBand="0" w:evenVBand="0" w:oddHBand="0" w:evenHBand="0" w:firstRowFirstColumn="0" w:firstRowLastColumn="0" w:lastRowFirstColumn="0" w:lastRowLastColumn="0"/>
          <w:cantSplit/>
          <w:trHeight w:val="318"/>
        </w:trPr>
        <w:tc>
          <w:tcPr>
            <w:cnfStyle w:val="001000000000" w:firstRow="0" w:lastRow="0" w:firstColumn="1" w:lastColumn="0" w:oddVBand="0" w:evenVBand="0" w:oddHBand="0" w:evenHBand="0" w:firstRowFirstColumn="0" w:firstRowLastColumn="0" w:lastRowFirstColumn="0" w:lastRowLastColumn="0"/>
            <w:tcW w:w="11476" w:type="dxa"/>
            <w:gridSpan w:val="3"/>
            <w:tcBorders>
              <w:top w:val="nil"/>
              <w:left w:val="nil"/>
              <w:bottom w:val="nil"/>
              <w:right w:val="nil"/>
            </w:tcBorders>
            <w:shd w:val="clear" w:color="auto" w:fill="FFFFFF" w:themeFill="background1"/>
          </w:tcPr>
          <w:p w14:paraId="21B241AA" w14:textId="17E267C8" w:rsidR="001C02AB" w:rsidRPr="001C02AB" w:rsidRDefault="001C02AB" w:rsidP="005D5988">
            <w:pPr>
              <w:pStyle w:val="Heading1"/>
              <w:spacing w:before="100" w:beforeAutospacing="1" w:after="100" w:afterAutospacing="1" w:line="240" w:lineRule="auto"/>
              <w:outlineLvl w:val="0"/>
              <w:rPr>
                <w:i/>
              </w:rPr>
            </w:pPr>
            <w:r w:rsidRPr="001C02AB">
              <w:rPr>
                <w:i/>
              </w:rPr>
              <w:t>Supplemental Table 1:</w:t>
            </w:r>
            <w:r>
              <w:rPr>
                <w:i/>
              </w:rPr>
              <w:t xml:space="preserve"> Recommended management of </w:t>
            </w:r>
            <w:r w:rsidR="00773883">
              <w:rPr>
                <w:i/>
              </w:rPr>
              <w:t>uncommon dermatologic immun</w:t>
            </w:r>
            <w:r w:rsidR="005D5988">
              <w:rPr>
                <w:i/>
              </w:rPr>
              <w:t xml:space="preserve">e-related adverse events </w:t>
            </w:r>
          </w:p>
        </w:tc>
        <w:tc>
          <w:tcPr>
            <w:tcW w:w="1221" w:type="dxa"/>
            <w:tcBorders>
              <w:top w:val="nil"/>
              <w:left w:val="nil"/>
              <w:bottom w:val="nil"/>
              <w:right w:val="nil"/>
            </w:tcBorders>
            <w:shd w:val="clear" w:color="auto" w:fill="FFFFFF" w:themeFill="background1"/>
          </w:tcPr>
          <w:p w14:paraId="4E8DD76C" w14:textId="77777777" w:rsidR="001C02AB" w:rsidRPr="006646B6" w:rsidRDefault="001C02AB" w:rsidP="001C02AB">
            <w:pPr>
              <w:pStyle w:val="Heading2"/>
              <w:spacing w:before="0"/>
              <w:jc w:val="center"/>
              <w:outlineLvl w:val="1"/>
              <w:cnfStyle w:val="100000000000" w:firstRow="1" w:lastRow="0" w:firstColumn="0" w:lastColumn="0" w:oddVBand="0" w:evenVBand="0" w:oddHBand="0" w:evenHBand="0" w:firstRowFirstColumn="0" w:firstRowLastColumn="0" w:lastRowFirstColumn="0" w:lastRowLastColumn="0"/>
              <w:rPr>
                <w:b w:val="0"/>
                <w:color w:val="auto"/>
                <w:sz w:val="22"/>
              </w:rPr>
            </w:pPr>
          </w:p>
        </w:tc>
      </w:tr>
      <w:tr w:rsidR="006646B6" w:rsidRPr="006646B6" w14:paraId="330E7C4F" w14:textId="77777777" w:rsidTr="001C02AB">
        <w:trPr>
          <w:cantSplit/>
          <w:trHeight w:val="318"/>
        </w:trPr>
        <w:tc>
          <w:tcPr>
            <w:cnfStyle w:val="001000000000" w:firstRow="0" w:lastRow="0" w:firstColumn="1" w:lastColumn="0" w:oddVBand="0" w:evenVBand="0" w:oddHBand="0" w:evenHBand="0" w:firstRowFirstColumn="0" w:firstRowLastColumn="0" w:lastRowFirstColumn="0" w:lastRowLastColumn="0"/>
            <w:tcW w:w="11476" w:type="dxa"/>
            <w:gridSpan w:val="3"/>
            <w:tcBorders>
              <w:top w:val="nil"/>
              <w:bottom w:val="single" w:sz="12" w:space="0" w:color="4472C4" w:themeColor="accent5"/>
            </w:tcBorders>
            <w:shd w:val="clear" w:color="auto" w:fill="92D050"/>
          </w:tcPr>
          <w:p w14:paraId="2B9B723A" w14:textId="4BEB1C23" w:rsidR="006646B6" w:rsidRPr="005E2FA9" w:rsidRDefault="006646B6" w:rsidP="001C02AB">
            <w:pPr>
              <w:pStyle w:val="Heading1"/>
              <w:spacing w:before="100" w:beforeAutospacing="1" w:after="100" w:afterAutospacing="1"/>
              <w:outlineLvl w:val="0"/>
              <w:rPr>
                <w:sz w:val="22"/>
                <w:szCs w:val="20"/>
              </w:rPr>
            </w:pPr>
            <w:bookmarkStart w:id="0" w:name="Skin"/>
            <w:r w:rsidRPr="001B7C75">
              <w:rPr>
                <w:b/>
              </w:rPr>
              <w:t>DERMATOLOG</w:t>
            </w:r>
            <w:r>
              <w:rPr>
                <w:b/>
              </w:rPr>
              <w:t>IC</w:t>
            </w:r>
            <w:bookmarkEnd w:id="0"/>
          </w:p>
        </w:tc>
        <w:tc>
          <w:tcPr>
            <w:tcW w:w="1221" w:type="dxa"/>
            <w:tcBorders>
              <w:top w:val="nil"/>
              <w:bottom w:val="single" w:sz="12" w:space="0" w:color="4472C4" w:themeColor="accent5"/>
            </w:tcBorders>
            <w:shd w:val="clear" w:color="auto" w:fill="92D050"/>
          </w:tcPr>
          <w:p w14:paraId="0579F73C" w14:textId="15A336B2" w:rsidR="006646B6" w:rsidRPr="006646B6"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0"/>
              </w:rPr>
            </w:pPr>
            <w:r w:rsidRPr="006646B6">
              <w:rPr>
                <w:b/>
                <w:color w:val="auto"/>
                <w:sz w:val="22"/>
              </w:rPr>
              <w:t>Specialist referral?</w:t>
            </w:r>
          </w:p>
        </w:tc>
      </w:tr>
      <w:tr w:rsidR="006646B6" w:rsidRPr="005E2FA9" w14:paraId="2C034558" w14:textId="77777777" w:rsidTr="001C02AB">
        <w:trPr>
          <w:cantSplit/>
          <w:trHeight w:val="318"/>
        </w:trPr>
        <w:tc>
          <w:tcPr>
            <w:cnfStyle w:val="001000000000" w:firstRow="0" w:lastRow="0" w:firstColumn="1" w:lastColumn="0" w:oddVBand="0" w:evenVBand="0" w:oddHBand="0" w:evenHBand="0" w:firstRowFirstColumn="0" w:firstRowLastColumn="0" w:lastRowFirstColumn="0" w:lastRowLastColumn="0"/>
            <w:tcW w:w="11476" w:type="dxa"/>
            <w:gridSpan w:val="3"/>
            <w:tcBorders>
              <w:bottom w:val="single" w:sz="12" w:space="0" w:color="4472C4" w:themeColor="accent5"/>
            </w:tcBorders>
            <w:shd w:val="clear" w:color="auto" w:fill="5B9BD5" w:themeFill="accent1"/>
          </w:tcPr>
          <w:p w14:paraId="259BB219" w14:textId="77777777" w:rsidR="006646B6" w:rsidRPr="005E2FA9" w:rsidRDefault="006646B6" w:rsidP="001C02AB">
            <w:pPr>
              <w:pStyle w:val="Heading2"/>
              <w:spacing w:before="0"/>
              <w:outlineLvl w:val="1"/>
              <w:rPr>
                <w:rFonts w:asciiTheme="minorHAnsi" w:hAnsiTheme="minorHAnsi"/>
                <w:color w:val="auto"/>
                <w:sz w:val="22"/>
                <w:szCs w:val="20"/>
              </w:rPr>
            </w:pPr>
            <w:r w:rsidRPr="005E2FA9">
              <w:rPr>
                <w:rFonts w:asciiTheme="minorHAnsi" w:hAnsiTheme="minorHAnsi"/>
                <w:color w:val="auto"/>
                <w:sz w:val="22"/>
                <w:szCs w:val="20"/>
              </w:rPr>
              <w:t>Bullous dermatitis</w:t>
            </w:r>
          </w:p>
        </w:tc>
        <w:tc>
          <w:tcPr>
            <w:tcW w:w="1221" w:type="dxa"/>
            <w:tcBorders>
              <w:bottom w:val="single" w:sz="12" w:space="0" w:color="4472C4" w:themeColor="accent5"/>
            </w:tcBorders>
            <w:shd w:val="clear" w:color="auto" w:fill="5B9BD5" w:themeFill="accent1"/>
          </w:tcPr>
          <w:p w14:paraId="610C32BC" w14:textId="696D0879" w:rsidR="006646B6" w:rsidRPr="005E2FA9"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p>
        </w:tc>
      </w:tr>
      <w:tr w:rsidR="006646B6" w:rsidRPr="00720343" w14:paraId="177F2FEF" w14:textId="77777777" w:rsidTr="001C02AB">
        <w:trPr>
          <w:cantSplit/>
          <w:trHeight w:val="318"/>
        </w:trPr>
        <w:tc>
          <w:tcPr>
            <w:cnfStyle w:val="001000000000" w:firstRow="0" w:lastRow="0" w:firstColumn="1" w:lastColumn="0" w:oddVBand="0" w:evenVBand="0" w:oddHBand="0" w:evenHBand="0" w:firstRowFirstColumn="0" w:firstRowLastColumn="0" w:lastRowFirstColumn="0" w:lastRowLastColumn="0"/>
            <w:tcW w:w="985" w:type="dxa"/>
            <w:tcBorders>
              <w:top w:val="single" w:sz="12" w:space="0" w:color="4472C4" w:themeColor="accent5"/>
            </w:tcBorders>
          </w:tcPr>
          <w:p w14:paraId="1487FBCA" w14:textId="77777777" w:rsidR="006646B6" w:rsidRPr="004B78BD" w:rsidRDefault="006646B6" w:rsidP="001C02AB">
            <w:pPr>
              <w:pStyle w:val="Heading2"/>
              <w:spacing w:before="0"/>
              <w:outlineLvl w:val="1"/>
              <w:rPr>
                <w:rFonts w:asciiTheme="minorHAnsi" w:hAnsiTheme="minorHAnsi"/>
                <w:color w:val="auto"/>
                <w:sz w:val="22"/>
                <w:szCs w:val="20"/>
              </w:rPr>
            </w:pPr>
            <w:r w:rsidRPr="004B78BD">
              <w:rPr>
                <w:rFonts w:asciiTheme="minorHAnsi" w:hAnsiTheme="minorHAnsi"/>
                <w:color w:val="auto"/>
                <w:sz w:val="22"/>
                <w:szCs w:val="20"/>
              </w:rPr>
              <w:t>Grade</w:t>
            </w:r>
          </w:p>
        </w:tc>
        <w:tc>
          <w:tcPr>
            <w:tcW w:w="2735" w:type="dxa"/>
            <w:tcBorders>
              <w:top w:val="single" w:sz="12" w:space="0" w:color="4472C4" w:themeColor="accent5"/>
            </w:tcBorders>
          </w:tcPr>
          <w:p w14:paraId="3FD33E6A" w14:textId="77777777" w:rsidR="006646B6" w:rsidRPr="00720343"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0"/>
              </w:rPr>
            </w:pPr>
            <w:r w:rsidRPr="00720343">
              <w:rPr>
                <w:rFonts w:asciiTheme="minorHAnsi" w:hAnsiTheme="minorHAnsi"/>
                <w:b/>
                <w:color w:val="auto"/>
                <w:sz w:val="22"/>
                <w:szCs w:val="20"/>
              </w:rPr>
              <w:t>Description</w:t>
            </w:r>
          </w:p>
        </w:tc>
        <w:tc>
          <w:tcPr>
            <w:tcW w:w="7756" w:type="dxa"/>
            <w:tcBorders>
              <w:top w:val="single" w:sz="12" w:space="0" w:color="4472C4" w:themeColor="accent5"/>
            </w:tcBorders>
          </w:tcPr>
          <w:p w14:paraId="260E2DAB" w14:textId="77777777" w:rsidR="006646B6" w:rsidRPr="00720343"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0"/>
              </w:rPr>
            </w:pPr>
            <w:r w:rsidRPr="00720343">
              <w:rPr>
                <w:rFonts w:asciiTheme="minorHAnsi" w:hAnsiTheme="minorHAnsi"/>
                <w:b/>
                <w:color w:val="auto"/>
                <w:sz w:val="22"/>
                <w:szCs w:val="20"/>
              </w:rPr>
              <w:t>Management</w:t>
            </w:r>
          </w:p>
        </w:tc>
        <w:tc>
          <w:tcPr>
            <w:tcW w:w="1221" w:type="dxa"/>
            <w:tcBorders>
              <w:top w:val="single" w:sz="12" w:space="0" w:color="4472C4" w:themeColor="accent5"/>
            </w:tcBorders>
          </w:tcPr>
          <w:p w14:paraId="08FAC5B4" w14:textId="77777777" w:rsidR="006646B6" w:rsidRPr="00720343"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0"/>
              </w:rPr>
            </w:pPr>
          </w:p>
        </w:tc>
      </w:tr>
      <w:tr w:rsidR="006646B6" w:rsidRPr="0012539F" w14:paraId="56D7D3B8"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985" w:type="dxa"/>
          </w:tcPr>
          <w:p w14:paraId="055E9761" w14:textId="77777777" w:rsidR="006646B6" w:rsidRPr="005E2FA9" w:rsidRDefault="006646B6" w:rsidP="001C02AB">
            <w:pPr>
              <w:pStyle w:val="Heading2"/>
              <w:spacing w:before="0"/>
              <w:outlineLvl w:val="1"/>
              <w:rPr>
                <w:rFonts w:asciiTheme="minorHAnsi" w:hAnsiTheme="minorHAnsi"/>
                <w:b w:val="0"/>
                <w:color w:val="auto"/>
                <w:sz w:val="22"/>
                <w:szCs w:val="20"/>
              </w:rPr>
            </w:pPr>
            <w:r w:rsidRPr="005E2FA9">
              <w:rPr>
                <w:rFonts w:asciiTheme="minorHAnsi" w:hAnsiTheme="minorHAnsi"/>
                <w:b w:val="0"/>
                <w:color w:val="auto"/>
                <w:sz w:val="22"/>
                <w:szCs w:val="20"/>
              </w:rPr>
              <w:t>1</w:t>
            </w:r>
          </w:p>
        </w:tc>
        <w:tc>
          <w:tcPr>
            <w:tcW w:w="2735" w:type="dxa"/>
          </w:tcPr>
          <w:p w14:paraId="18E21685" w14:textId="77777777" w:rsidR="006646B6" w:rsidRPr="006C5CEE"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C5CEE">
              <w:rPr>
                <w:rFonts w:asciiTheme="minorHAnsi" w:hAnsiTheme="minorHAnsi"/>
                <w:color w:val="auto"/>
                <w:sz w:val="20"/>
                <w:szCs w:val="20"/>
              </w:rPr>
              <w:t>Asymptomatic; blisters covering &lt;1% BSA</w:t>
            </w:r>
          </w:p>
        </w:tc>
        <w:tc>
          <w:tcPr>
            <w:tcW w:w="7756" w:type="dxa"/>
          </w:tcPr>
          <w:p w14:paraId="34869B39" w14:textId="77777777" w:rsidR="006646B6" w:rsidRPr="004D7D86"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8"/>
                <w:szCs w:val="20"/>
              </w:rPr>
            </w:pPr>
            <w:r w:rsidRPr="004D7D86">
              <w:rPr>
                <w:rFonts w:asciiTheme="minorHAnsi" w:hAnsiTheme="minorHAnsi"/>
                <w:color w:val="auto"/>
                <w:sz w:val="22"/>
                <w:szCs w:val="20"/>
              </w:rPr>
              <w:t>Urgent referral for blisters ≥1%</w:t>
            </w:r>
          </w:p>
          <w:p w14:paraId="2AFDA84F" w14:textId="77777777" w:rsidR="006646B6" w:rsidRPr="00EA052B"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Pr>
                <w:rFonts w:asciiTheme="minorHAnsi" w:hAnsiTheme="minorHAnsi"/>
                <w:color w:val="auto"/>
                <w:sz w:val="22"/>
                <w:szCs w:val="20"/>
              </w:rPr>
              <w:t>Must exclude SJS/TEN</w:t>
            </w:r>
          </w:p>
          <w:p w14:paraId="602EA6EE" w14:textId="77777777" w:rsidR="006646B6" w:rsidRPr="004D7D86"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4D7D86">
              <w:rPr>
                <w:rFonts w:asciiTheme="minorHAnsi" w:hAnsiTheme="minorHAnsi"/>
                <w:color w:val="auto"/>
                <w:sz w:val="22"/>
                <w:szCs w:val="20"/>
              </w:rPr>
              <w:t>Non-acute dermatology referral for diagnosis &lt;1%</w:t>
            </w:r>
          </w:p>
          <w:p w14:paraId="78C6D631" w14:textId="752C5E8C" w:rsidR="006646B6" w:rsidRPr="005E2FA9" w:rsidRDefault="006646B6" w:rsidP="001C02AB">
            <w:pPr>
              <w:pStyle w:val="Heading2"/>
              <w:numPr>
                <w:ilvl w:val="1"/>
                <w:numId w:val="2"/>
              </w:numPr>
              <w:spacing w:before="0"/>
              <w:ind w:left="702" w:hanging="27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Skin biopsy with direct immunofluorescence</w:t>
            </w:r>
            <w:r>
              <w:rPr>
                <w:rFonts w:asciiTheme="minorHAnsi" w:hAnsiTheme="minorHAnsi"/>
                <w:color w:val="auto"/>
                <w:sz w:val="22"/>
                <w:szCs w:val="20"/>
              </w:rPr>
              <w:t xml:space="preserve"> (IF)</w:t>
            </w:r>
            <w:r w:rsidRPr="005E2FA9">
              <w:rPr>
                <w:rFonts w:asciiTheme="minorHAnsi" w:hAnsiTheme="minorHAnsi"/>
                <w:color w:val="auto"/>
                <w:sz w:val="22"/>
                <w:szCs w:val="20"/>
              </w:rPr>
              <w:t>, serum for indirect IF, CBC with diff</w:t>
            </w:r>
            <w:r>
              <w:rPr>
                <w:rFonts w:asciiTheme="minorHAnsi" w:hAnsiTheme="minorHAnsi"/>
                <w:color w:val="auto"/>
                <w:sz w:val="22"/>
                <w:szCs w:val="20"/>
              </w:rPr>
              <w:t>erential</w:t>
            </w:r>
            <w:r w:rsidRPr="005E2FA9">
              <w:rPr>
                <w:rFonts w:asciiTheme="minorHAnsi" w:hAnsiTheme="minorHAnsi"/>
                <w:color w:val="auto"/>
                <w:sz w:val="22"/>
                <w:szCs w:val="20"/>
              </w:rPr>
              <w:t xml:space="preserve">, </w:t>
            </w:r>
            <w:r>
              <w:rPr>
                <w:rFonts w:asciiTheme="minorHAnsi" w:hAnsiTheme="minorHAnsi"/>
                <w:color w:val="auto"/>
                <w:sz w:val="22"/>
                <w:szCs w:val="20"/>
              </w:rPr>
              <w:t xml:space="preserve">serum </w:t>
            </w:r>
            <w:r w:rsidRPr="005E2FA9">
              <w:rPr>
                <w:rFonts w:asciiTheme="minorHAnsi" w:hAnsiTheme="minorHAnsi"/>
                <w:color w:val="auto"/>
                <w:sz w:val="22"/>
                <w:szCs w:val="20"/>
              </w:rPr>
              <w:t>IgE</w:t>
            </w:r>
            <w:r>
              <w:rPr>
                <w:rFonts w:asciiTheme="minorHAnsi" w:hAnsiTheme="minorHAnsi"/>
                <w:color w:val="auto"/>
                <w:sz w:val="22"/>
                <w:szCs w:val="20"/>
              </w:rPr>
              <w:t xml:space="preserve"> level, PCR or viral cultures of blister base for </w:t>
            </w:r>
            <w:r w:rsidR="001C02AB">
              <w:rPr>
                <w:rFonts w:asciiTheme="minorHAnsi" w:hAnsiTheme="minorHAnsi"/>
                <w:color w:val="auto"/>
                <w:sz w:val="22"/>
                <w:szCs w:val="20"/>
              </w:rPr>
              <w:t>herpes simplex virus (</w:t>
            </w:r>
            <w:r>
              <w:rPr>
                <w:rFonts w:asciiTheme="minorHAnsi" w:hAnsiTheme="minorHAnsi"/>
                <w:color w:val="auto"/>
                <w:sz w:val="22"/>
                <w:szCs w:val="20"/>
              </w:rPr>
              <w:t>HSV</w:t>
            </w:r>
            <w:r w:rsidR="001C02AB">
              <w:rPr>
                <w:rFonts w:asciiTheme="minorHAnsi" w:hAnsiTheme="minorHAnsi"/>
                <w:color w:val="auto"/>
                <w:sz w:val="22"/>
                <w:szCs w:val="20"/>
              </w:rPr>
              <w:t>)</w:t>
            </w:r>
            <w:r>
              <w:rPr>
                <w:rFonts w:asciiTheme="minorHAnsi" w:hAnsiTheme="minorHAnsi"/>
                <w:color w:val="auto"/>
                <w:sz w:val="22"/>
                <w:szCs w:val="20"/>
              </w:rPr>
              <w:t>/</w:t>
            </w:r>
            <w:r w:rsidR="001C02AB">
              <w:rPr>
                <w:rFonts w:asciiTheme="minorHAnsi" w:hAnsiTheme="minorHAnsi"/>
                <w:color w:val="auto"/>
                <w:sz w:val="22"/>
                <w:szCs w:val="20"/>
              </w:rPr>
              <w:t>varicella zoster virus (</w:t>
            </w:r>
            <w:r>
              <w:rPr>
                <w:rFonts w:asciiTheme="minorHAnsi" w:hAnsiTheme="minorHAnsi"/>
                <w:color w:val="auto"/>
                <w:sz w:val="22"/>
                <w:szCs w:val="20"/>
              </w:rPr>
              <w:t>VZV</w:t>
            </w:r>
            <w:r w:rsidR="001C02AB">
              <w:rPr>
                <w:rFonts w:asciiTheme="minorHAnsi" w:hAnsiTheme="minorHAnsi"/>
                <w:color w:val="auto"/>
                <w:sz w:val="22"/>
                <w:szCs w:val="20"/>
              </w:rPr>
              <w:t>)</w:t>
            </w:r>
          </w:p>
          <w:p w14:paraId="7F141EEB" w14:textId="28A4E091" w:rsidR="006646B6" w:rsidRDefault="006646B6" w:rsidP="001C02AB">
            <w:pPr>
              <w:pStyle w:val="Heading2"/>
              <w:numPr>
                <w:ilvl w:val="0"/>
                <w:numId w:val="2"/>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Pr>
                <w:rFonts w:asciiTheme="minorHAnsi" w:hAnsiTheme="minorHAnsi"/>
                <w:color w:val="auto"/>
                <w:sz w:val="22"/>
                <w:szCs w:val="20"/>
              </w:rPr>
              <w:t>Topical</w:t>
            </w:r>
            <w:r w:rsidRPr="005E2FA9">
              <w:rPr>
                <w:rFonts w:asciiTheme="minorHAnsi" w:hAnsiTheme="minorHAnsi"/>
                <w:color w:val="auto"/>
                <w:sz w:val="22"/>
                <w:szCs w:val="20"/>
              </w:rPr>
              <w:t xml:space="preserve"> </w:t>
            </w:r>
            <w:r w:rsidR="00ED1B0A">
              <w:rPr>
                <w:rFonts w:asciiTheme="minorHAnsi" w:hAnsiTheme="minorHAnsi"/>
                <w:color w:val="auto"/>
                <w:sz w:val="22"/>
                <w:szCs w:val="20"/>
              </w:rPr>
              <w:t>cortico</w:t>
            </w:r>
            <w:r w:rsidRPr="005E2FA9">
              <w:rPr>
                <w:rFonts w:asciiTheme="minorHAnsi" w:hAnsiTheme="minorHAnsi"/>
                <w:color w:val="auto"/>
                <w:sz w:val="22"/>
                <w:szCs w:val="20"/>
              </w:rPr>
              <w:t>steroids</w:t>
            </w:r>
            <w:r>
              <w:rPr>
                <w:rFonts w:asciiTheme="minorHAnsi" w:hAnsiTheme="minorHAnsi"/>
                <w:color w:val="auto"/>
                <w:sz w:val="22"/>
                <w:szCs w:val="20"/>
              </w:rPr>
              <w:t xml:space="preserve"> while biopsy pending </w:t>
            </w:r>
          </w:p>
          <w:p w14:paraId="41F306CC" w14:textId="4CDA37FC" w:rsidR="006646B6" w:rsidRDefault="006646B6" w:rsidP="001C02AB">
            <w:pPr>
              <w:pStyle w:val="ListParagraph"/>
              <w:numPr>
                <w:ilvl w:val="1"/>
                <w:numId w:val="2"/>
              </w:numPr>
              <w:ind w:left="702" w:hanging="270"/>
              <w:cnfStyle w:val="000000000000" w:firstRow="0" w:lastRow="0" w:firstColumn="0" w:lastColumn="0" w:oddVBand="0" w:evenVBand="0" w:oddHBand="0" w:evenHBand="0" w:firstRowFirstColumn="0" w:firstRowLastColumn="0" w:lastRowFirstColumn="0" w:lastRowLastColumn="0"/>
            </w:pPr>
            <w:r>
              <w:t xml:space="preserve">Class I topical </w:t>
            </w:r>
            <w:r w:rsidR="00ED1B0A">
              <w:t>cortico</w:t>
            </w:r>
            <w:r>
              <w:t>steroid (clobetasol, halobetasol, betamet</w:t>
            </w:r>
            <w:r w:rsidR="00ED1B0A">
              <w:t>hasone dipropionate) for body; c</w:t>
            </w:r>
            <w:r>
              <w:t xml:space="preserve">lass V/VI </w:t>
            </w:r>
            <w:r w:rsidR="00ED1B0A">
              <w:t>cortico</w:t>
            </w:r>
            <w:r>
              <w:t xml:space="preserve">steroid (aclometasone 0.05%, desonide 0.05%, hydrocortisone 2.5% cream) for face.  </w:t>
            </w:r>
          </w:p>
          <w:p w14:paraId="23588977" w14:textId="77777777" w:rsidR="006646B6" w:rsidRPr="005E2FA9" w:rsidRDefault="006646B6" w:rsidP="001C02AB">
            <w:pPr>
              <w:pStyle w:val="Heading2"/>
              <w:numPr>
                <w:ilvl w:val="1"/>
                <w:numId w:val="2"/>
              </w:numPr>
              <w:spacing w:before="0"/>
              <w:ind w:left="702" w:hanging="27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No dose modification</w:t>
            </w:r>
          </w:p>
        </w:tc>
        <w:tc>
          <w:tcPr>
            <w:tcW w:w="1221" w:type="dxa"/>
            <w:vAlign w:val="center"/>
          </w:tcPr>
          <w:p w14:paraId="169E6D67" w14:textId="77777777" w:rsidR="006646B6" w:rsidRPr="0012539F" w:rsidRDefault="006646B6" w:rsidP="001C02AB">
            <w:pPr>
              <w:pStyle w:val="Heading2"/>
              <w:spacing w:before="0"/>
              <w:ind w:left="7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01148D">
              <w:rPr>
                <w:rFonts w:asciiTheme="minorHAnsi" w:hAnsiTheme="minorHAnsi"/>
                <w:b/>
                <w:color w:val="auto"/>
                <w:sz w:val="36"/>
                <w:szCs w:val="20"/>
              </w:rPr>
              <w:sym w:font="Wingdings" w:char="F0FC"/>
            </w:r>
          </w:p>
        </w:tc>
      </w:tr>
      <w:tr w:rsidR="006646B6" w:rsidRPr="00645A3E" w14:paraId="05276A04"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985" w:type="dxa"/>
          </w:tcPr>
          <w:p w14:paraId="30E228BD" w14:textId="77777777" w:rsidR="006646B6" w:rsidRPr="005E2FA9" w:rsidRDefault="006646B6" w:rsidP="001C02AB">
            <w:pPr>
              <w:pStyle w:val="Heading2"/>
              <w:spacing w:before="0"/>
              <w:outlineLvl w:val="1"/>
              <w:rPr>
                <w:rFonts w:asciiTheme="minorHAnsi" w:hAnsiTheme="minorHAnsi"/>
                <w:b w:val="0"/>
                <w:color w:val="auto"/>
                <w:sz w:val="22"/>
                <w:szCs w:val="20"/>
              </w:rPr>
            </w:pPr>
            <w:r w:rsidRPr="005E2FA9">
              <w:rPr>
                <w:rFonts w:asciiTheme="minorHAnsi" w:hAnsiTheme="minorHAnsi"/>
                <w:b w:val="0"/>
                <w:color w:val="auto"/>
                <w:sz w:val="22"/>
                <w:szCs w:val="20"/>
              </w:rPr>
              <w:t>2</w:t>
            </w:r>
          </w:p>
        </w:tc>
        <w:tc>
          <w:tcPr>
            <w:tcW w:w="2735" w:type="dxa"/>
          </w:tcPr>
          <w:p w14:paraId="6F41ADE7" w14:textId="77777777" w:rsidR="006646B6" w:rsidRPr="006C5CEE"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C5CEE">
              <w:rPr>
                <w:rFonts w:asciiTheme="minorHAnsi" w:hAnsiTheme="minorHAnsi"/>
                <w:color w:val="auto"/>
                <w:sz w:val="20"/>
                <w:szCs w:val="20"/>
              </w:rPr>
              <w:t>Blisters covering 10 - 30% BSA; painful blisters; limiting instrumental ADL</w:t>
            </w:r>
          </w:p>
        </w:tc>
        <w:tc>
          <w:tcPr>
            <w:tcW w:w="7756" w:type="dxa"/>
          </w:tcPr>
          <w:p w14:paraId="45B96F8D" w14:textId="77777777" w:rsidR="006646B6" w:rsidRDefault="006646B6" w:rsidP="001C02AB">
            <w:pPr>
              <w:pStyle w:val="Heading2"/>
              <w:numPr>
                <w:ilvl w:val="0"/>
                <w:numId w:val="2"/>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Pr>
                <w:rFonts w:asciiTheme="minorHAnsi" w:hAnsiTheme="minorHAnsi"/>
                <w:color w:val="auto"/>
                <w:sz w:val="22"/>
                <w:szCs w:val="20"/>
              </w:rPr>
              <w:t>Same-day</w:t>
            </w:r>
            <w:r w:rsidRPr="00645A3E">
              <w:rPr>
                <w:rFonts w:asciiTheme="minorHAnsi" w:hAnsiTheme="minorHAnsi"/>
                <w:color w:val="auto"/>
                <w:sz w:val="22"/>
                <w:szCs w:val="20"/>
              </w:rPr>
              <w:t xml:space="preserve"> dermatology referral</w:t>
            </w:r>
            <w:r w:rsidRPr="005E2FA9">
              <w:rPr>
                <w:rFonts w:asciiTheme="minorHAnsi" w:hAnsiTheme="minorHAnsi"/>
                <w:color w:val="auto"/>
                <w:sz w:val="22"/>
                <w:szCs w:val="20"/>
              </w:rPr>
              <w:t xml:space="preserve"> </w:t>
            </w:r>
          </w:p>
          <w:p w14:paraId="75F95F24" w14:textId="77777777" w:rsidR="006646B6" w:rsidRPr="005E2FA9" w:rsidRDefault="006646B6" w:rsidP="001C02AB">
            <w:pPr>
              <w:pStyle w:val="Heading2"/>
              <w:numPr>
                <w:ilvl w:val="1"/>
                <w:numId w:val="2"/>
              </w:numPr>
              <w:spacing w:before="0"/>
              <w:ind w:left="702" w:hanging="27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Skin biopsy with direct </w:t>
            </w:r>
            <w:r>
              <w:rPr>
                <w:rFonts w:asciiTheme="minorHAnsi" w:hAnsiTheme="minorHAnsi"/>
                <w:color w:val="auto"/>
                <w:sz w:val="22"/>
                <w:szCs w:val="20"/>
              </w:rPr>
              <w:t>IF</w:t>
            </w:r>
            <w:r w:rsidRPr="005E2FA9">
              <w:rPr>
                <w:rFonts w:asciiTheme="minorHAnsi" w:hAnsiTheme="minorHAnsi"/>
                <w:color w:val="auto"/>
                <w:sz w:val="22"/>
                <w:szCs w:val="20"/>
              </w:rPr>
              <w:t>, serum for indirect IF, CBC with diff</w:t>
            </w:r>
            <w:r>
              <w:rPr>
                <w:rFonts w:asciiTheme="minorHAnsi" w:hAnsiTheme="minorHAnsi"/>
                <w:color w:val="auto"/>
                <w:sz w:val="22"/>
                <w:szCs w:val="20"/>
              </w:rPr>
              <w:t>erential</w:t>
            </w:r>
            <w:r w:rsidRPr="005E2FA9">
              <w:rPr>
                <w:rFonts w:asciiTheme="minorHAnsi" w:hAnsiTheme="minorHAnsi"/>
                <w:color w:val="auto"/>
                <w:sz w:val="22"/>
                <w:szCs w:val="20"/>
              </w:rPr>
              <w:t xml:space="preserve">, </w:t>
            </w:r>
            <w:r>
              <w:rPr>
                <w:rFonts w:asciiTheme="minorHAnsi" w:hAnsiTheme="minorHAnsi"/>
                <w:color w:val="auto"/>
                <w:sz w:val="22"/>
                <w:szCs w:val="20"/>
              </w:rPr>
              <w:t xml:space="preserve">serum </w:t>
            </w:r>
            <w:r w:rsidRPr="005E2FA9">
              <w:rPr>
                <w:rFonts w:asciiTheme="minorHAnsi" w:hAnsiTheme="minorHAnsi"/>
                <w:color w:val="auto"/>
                <w:sz w:val="22"/>
                <w:szCs w:val="20"/>
              </w:rPr>
              <w:t>IgE</w:t>
            </w:r>
            <w:r>
              <w:rPr>
                <w:rFonts w:asciiTheme="minorHAnsi" w:hAnsiTheme="minorHAnsi"/>
                <w:color w:val="auto"/>
                <w:sz w:val="22"/>
                <w:szCs w:val="20"/>
              </w:rPr>
              <w:t>, PCR or viral cultures of blister base for HSV/VZV</w:t>
            </w:r>
          </w:p>
          <w:p w14:paraId="7AC3EFFF" w14:textId="6AA2978F" w:rsidR="006646B6" w:rsidRDefault="006646B6" w:rsidP="001C02AB">
            <w:pPr>
              <w:pStyle w:val="Heading2"/>
              <w:numPr>
                <w:ilvl w:val="0"/>
                <w:numId w:val="2"/>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Topical </w:t>
            </w:r>
            <w:r w:rsidR="00ED1B0A">
              <w:rPr>
                <w:rFonts w:asciiTheme="minorHAnsi" w:hAnsiTheme="minorHAnsi"/>
                <w:color w:val="auto"/>
                <w:sz w:val="22"/>
                <w:szCs w:val="20"/>
              </w:rPr>
              <w:t>cortico</w:t>
            </w:r>
            <w:r w:rsidRPr="005E2FA9">
              <w:rPr>
                <w:rFonts w:asciiTheme="minorHAnsi" w:hAnsiTheme="minorHAnsi"/>
                <w:color w:val="auto"/>
                <w:sz w:val="22"/>
                <w:szCs w:val="20"/>
              </w:rPr>
              <w:t>steroids</w:t>
            </w:r>
          </w:p>
          <w:p w14:paraId="49DAF6A8" w14:textId="575F0B47" w:rsidR="006646B6" w:rsidRDefault="006646B6" w:rsidP="001C02AB">
            <w:pPr>
              <w:pStyle w:val="ListParagraph"/>
              <w:numPr>
                <w:ilvl w:val="1"/>
                <w:numId w:val="2"/>
              </w:numPr>
              <w:ind w:left="702" w:hanging="270"/>
              <w:cnfStyle w:val="000000000000" w:firstRow="0" w:lastRow="0" w:firstColumn="0" w:lastColumn="0" w:oddVBand="0" w:evenVBand="0" w:oddHBand="0" w:evenHBand="0" w:firstRowFirstColumn="0" w:firstRowLastColumn="0" w:lastRowFirstColumn="0" w:lastRowLastColumn="0"/>
            </w:pPr>
            <w:r>
              <w:t xml:space="preserve">Class I topical </w:t>
            </w:r>
            <w:r w:rsidR="00ED1B0A">
              <w:t>cortico</w:t>
            </w:r>
            <w:r>
              <w:t>steroid (clobetasol, halobetasol, betamet</w:t>
            </w:r>
            <w:r w:rsidR="00ED1B0A">
              <w:t>hasone dipropionate) for body; c</w:t>
            </w:r>
            <w:r>
              <w:t xml:space="preserve">lass V/VI </w:t>
            </w:r>
            <w:r w:rsidR="00ED1B0A">
              <w:t>cortico</w:t>
            </w:r>
            <w:r>
              <w:t xml:space="preserve">steroid (aclometasone 0.05%, desonide 0.05%, hydrocortisone 2.5% cream) for face.  </w:t>
            </w:r>
          </w:p>
          <w:p w14:paraId="70356FF5" w14:textId="77777777" w:rsidR="006646B6" w:rsidRPr="005E2FA9" w:rsidRDefault="006646B6" w:rsidP="001C02AB">
            <w:pPr>
              <w:pStyle w:val="Heading2"/>
              <w:numPr>
                <w:ilvl w:val="0"/>
                <w:numId w:val="2"/>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Oral antihistamine (hydroxyzine 25mg </w:t>
            </w:r>
            <w:r>
              <w:rPr>
                <w:rFonts w:asciiTheme="minorHAnsi" w:hAnsiTheme="minorHAnsi"/>
                <w:color w:val="auto"/>
                <w:sz w:val="22"/>
                <w:szCs w:val="20"/>
              </w:rPr>
              <w:t>QID</w:t>
            </w:r>
            <w:r w:rsidRPr="005E2FA9">
              <w:rPr>
                <w:rFonts w:asciiTheme="minorHAnsi" w:hAnsiTheme="minorHAnsi"/>
                <w:color w:val="auto"/>
                <w:sz w:val="22"/>
                <w:szCs w:val="20"/>
              </w:rPr>
              <w:t xml:space="preserve"> or equivalent)</w:t>
            </w:r>
          </w:p>
          <w:p w14:paraId="4D14FD8B" w14:textId="74409056" w:rsidR="006646B6" w:rsidRDefault="006646B6" w:rsidP="001C02AB">
            <w:pPr>
              <w:pStyle w:val="Heading2"/>
              <w:numPr>
                <w:ilvl w:val="0"/>
                <w:numId w:val="2"/>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C</w:t>
            </w:r>
            <w:r>
              <w:rPr>
                <w:rFonts w:asciiTheme="minorHAnsi" w:hAnsiTheme="minorHAnsi"/>
                <w:color w:val="auto"/>
                <w:sz w:val="22"/>
                <w:szCs w:val="20"/>
              </w:rPr>
              <w:t>o</w:t>
            </w:r>
            <w:r w:rsidRPr="005E2FA9">
              <w:rPr>
                <w:rFonts w:asciiTheme="minorHAnsi" w:hAnsiTheme="minorHAnsi"/>
                <w:color w:val="auto"/>
                <w:sz w:val="22"/>
                <w:szCs w:val="20"/>
              </w:rPr>
              <w:t xml:space="preserve">nsider oral </w:t>
            </w:r>
            <w:r w:rsidR="00ED1B0A">
              <w:rPr>
                <w:rFonts w:asciiTheme="minorHAnsi" w:hAnsiTheme="minorHAnsi"/>
                <w:color w:val="auto"/>
                <w:sz w:val="22"/>
                <w:szCs w:val="20"/>
              </w:rPr>
              <w:t>cortico</w:t>
            </w:r>
            <w:r w:rsidRPr="005E2FA9">
              <w:rPr>
                <w:rFonts w:asciiTheme="minorHAnsi" w:hAnsiTheme="minorHAnsi"/>
                <w:color w:val="auto"/>
                <w:sz w:val="22"/>
                <w:szCs w:val="20"/>
              </w:rPr>
              <w:t>steroids if rapidly progressive</w:t>
            </w:r>
          </w:p>
          <w:p w14:paraId="394F9AEF" w14:textId="77777777" w:rsidR="006646B6" w:rsidRPr="0097070B" w:rsidRDefault="006646B6" w:rsidP="001C02AB">
            <w:pPr>
              <w:pStyle w:val="ListParagraph"/>
              <w:numPr>
                <w:ilvl w:val="1"/>
                <w:numId w:val="2"/>
              </w:numPr>
              <w:ind w:left="702" w:hanging="270"/>
              <w:cnfStyle w:val="000000000000" w:firstRow="0" w:lastRow="0" w:firstColumn="0" w:lastColumn="0" w:oddVBand="0" w:evenVBand="0" w:oddHBand="0" w:evenHBand="0" w:firstRowFirstColumn="0" w:firstRowLastColumn="0" w:lastRowFirstColumn="0" w:lastRowLastColumn="0"/>
            </w:pPr>
            <w:r w:rsidRPr="006D5035">
              <w:t>Prednisone</w:t>
            </w:r>
            <w:r w:rsidRPr="006D5035">
              <w:rPr>
                <w:szCs w:val="20"/>
              </w:rPr>
              <w:t xml:space="preserve"> 0.5 – 1mg/kg/day until rash resolves to ≤ </w:t>
            </w:r>
            <w:r>
              <w:rPr>
                <w:szCs w:val="20"/>
              </w:rPr>
              <w:t>g</w:t>
            </w:r>
            <w:r w:rsidRPr="006D5035">
              <w:rPr>
                <w:szCs w:val="20"/>
              </w:rPr>
              <w:t>rade 1</w:t>
            </w:r>
          </w:p>
          <w:p w14:paraId="3DF789B5" w14:textId="77777777" w:rsidR="006646B6" w:rsidRPr="005E2FA9"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Consider doxycycline 100mg BID, nicotinamide 500mg BID</w:t>
            </w:r>
          </w:p>
        </w:tc>
        <w:tc>
          <w:tcPr>
            <w:tcW w:w="1221" w:type="dxa"/>
            <w:vAlign w:val="center"/>
          </w:tcPr>
          <w:p w14:paraId="5C6AB826" w14:textId="77777777" w:rsidR="006646B6" w:rsidRPr="00645A3E" w:rsidRDefault="006646B6" w:rsidP="001C02AB">
            <w:pPr>
              <w:pStyle w:val="Heading2"/>
              <w:spacing w:before="0"/>
              <w:ind w:left="7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01148D">
              <w:rPr>
                <w:rFonts w:asciiTheme="minorHAnsi" w:hAnsiTheme="minorHAnsi"/>
                <w:b/>
                <w:color w:val="auto"/>
                <w:sz w:val="36"/>
                <w:szCs w:val="20"/>
              </w:rPr>
              <w:sym w:font="Wingdings" w:char="F0FC"/>
            </w:r>
          </w:p>
        </w:tc>
      </w:tr>
      <w:tr w:rsidR="006646B6" w:rsidRPr="0012539F" w14:paraId="7E655608" w14:textId="77777777" w:rsidTr="001C02AB">
        <w:trPr>
          <w:cantSplit/>
          <w:trHeight w:val="1700"/>
        </w:trPr>
        <w:tc>
          <w:tcPr>
            <w:cnfStyle w:val="001000000000" w:firstRow="0" w:lastRow="0" w:firstColumn="1" w:lastColumn="0" w:oddVBand="0" w:evenVBand="0" w:oddHBand="0" w:evenHBand="0" w:firstRowFirstColumn="0" w:firstRowLastColumn="0" w:lastRowFirstColumn="0" w:lastRowLastColumn="0"/>
            <w:tcW w:w="985" w:type="dxa"/>
          </w:tcPr>
          <w:p w14:paraId="541AD79F" w14:textId="77777777" w:rsidR="006646B6" w:rsidRPr="005E2FA9" w:rsidRDefault="006646B6" w:rsidP="001C02AB">
            <w:pPr>
              <w:pStyle w:val="Heading2"/>
              <w:spacing w:before="0"/>
              <w:outlineLvl w:val="1"/>
              <w:rPr>
                <w:rFonts w:asciiTheme="minorHAnsi" w:hAnsiTheme="minorHAnsi"/>
                <w:b w:val="0"/>
                <w:color w:val="auto"/>
                <w:sz w:val="22"/>
                <w:szCs w:val="20"/>
              </w:rPr>
            </w:pPr>
            <w:r w:rsidRPr="005E2FA9">
              <w:rPr>
                <w:rFonts w:asciiTheme="minorHAnsi" w:hAnsiTheme="minorHAnsi"/>
                <w:b w:val="0"/>
                <w:color w:val="auto"/>
                <w:sz w:val="22"/>
                <w:szCs w:val="20"/>
              </w:rPr>
              <w:lastRenderedPageBreak/>
              <w:t>3</w:t>
            </w:r>
          </w:p>
        </w:tc>
        <w:tc>
          <w:tcPr>
            <w:tcW w:w="2735" w:type="dxa"/>
          </w:tcPr>
          <w:p w14:paraId="24CEC322" w14:textId="0FB2644A" w:rsidR="006646B6" w:rsidRPr="006C5CEE"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C5CEE">
              <w:rPr>
                <w:rFonts w:asciiTheme="minorHAnsi" w:hAnsiTheme="minorHAnsi"/>
                <w:color w:val="auto"/>
                <w:sz w:val="20"/>
                <w:szCs w:val="20"/>
              </w:rPr>
              <w:t>Blisters c</w:t>
            </w:r>
            <w:r w:rsidR="00B64344">
              <w:rPr>
                <w:rFonts w:asciiTheme="minorHAnsi" w:hAnsiTheme="minorHAnsi"/>
                <w:color w:val="auto"/>
                <w:sz w:val="20"/>
                <w:szCs w:val="20"/>
              </w:rPr>
              <w:t>overing &gt;30% BSA; limiting self-</w:t>
            </w:r>
            <w:r w:rsidRPr="006C5CEE">
              <w:rPr>
                <w:rFonts w:asciiTheme="minorHAnsi" w:hAnsiTheme="minorHAnsi"/>
                <w:color w:val="auto"/>
                <w:sz w:val="20"/>
                <w:szCs w:val="20"/>
              </w:rPr>
              <w:t>care ADL</w:t>
            </w:r>
          </w:p>
        </w:tc>
        <w:tc>
          <w:tcPr>
            <w:tcW w:w="7756" w:type="dxa"/>
          </w:tcPr>
          <w:p w14:paraId="2B20B70F" w14:textId="4B192173" w:rsidR="006646B6" w:rsidRPr="005E2FA9" w:rsidRDefault="006646B6" w:rsidP="001C02AB">
            <w:pPr>
              <w:pStyle w:val="Heading2"/>
              <w:numPr>
                <w:ilvl w:val="0"/>
                <w:numId w:val="3"/>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Pr>
                <w:rFonts w:asciiTheme="minorHAnsi" w:hAnsiTheme="minorHAnsi"/>
                <w:color w:val="auto"/>
                <w:sz w:val="22"/>
                <w:szCs w:val="20"/>
              </w:rPr>
              <w:t>Same day r</w:t>
            </w:r>
            <w:r w:rsidRPr="0012539F">
              <w:rPr>
                <w:rFonts w:asciiTheme="minorHAnsi" w:hAnsiTheme="minorHAnsi"/>
                <w:color w:val="auto"/>
                <w:sz w:val="22"/>
                <w:szCs w:val="20"/>
              </w:rPr>
              <w:t>efer</w:t>
            </w:r>
            <w:r w:rsidR="00B64344">
              <w:rPr>
                <w:rFonts w:asciiTheme="minorHAnsi" w:hAnsiTheme="minorHAnsi"/>
                <w:color w:val="auto"/>
                <w:sz w:val="22"/>
                <w:szCs w:val="20"/>
              </w:rPr>
              <w:t>r</w:t>
            </w:r>
            <w:r>
              <w:rPr>
                <w:rFonts w:asciiTheme="minorHAnsi" w:hAnsiTheme="minorHAnsi"/>
                <w:color w:val="auto"/>
                <w:sz w:val="22"/>
                <w:szCs w:val="20"/>
              </w:rPr>
              <w:t>al</w:t>
            </w:r>
            <w:r w:rsidRPr="005E2FA9">
              <w:rPr>
                <w:rFonts w:asciiTheme="minorHAnsi" w:hAnsiTheme="minorHAnsi"/>
                <w:color w:val="FF0000"/>
                <w:sz w:val="22"/>
                <w:szCs w:val="20"/>
              </w:rPr>
              <w:t xml:space="preserve"> </w:t>
            </w:r>
            <w:r w:rsidRPr="005E2FA9">
              <w:rPr>
                <w:rFonts w:asciiTheme="minorHAnsi" w:hAnsiTheme="minorHAnsi"/>
                <w:color w:val="auto"/>
                <w:sz w:val="22"/>
                <w:szCs w:val="20"/>
              </w:rPr>
              <w:t xml:space="preserve">to dermatology </w:t>
            </w:r>
            <w:r>
              <w:rPr>
                <w:rFonts w:asciiTheme="minorHAnsi" w:hAnsiTheme="minorHAnsi"/>
                <w:color w:val="auto"/>
                <w:sz w:val="22"/>
                <w:szCs w:val="20"/>
              </w:rPr>
              <w:t>or admit with dermatology consult</w:t>
            </w:r>
          </w:p>
          <w:p w14:paraId="211B8DC6" w14:textId="77777777" w:rsidR="006646B6" w:rsidRPr="006D5035" w:rsidRDefault="006646B6" w:rsidP="001C02AB">
            <w:pPr>
              <w:pStyle w:val="Heading2"/>
              <w:numPr>
                <w:ilvl w:val="1"/>
                <w:numId w:val="2"/>
              </w:numPr>
              <w:spacing w:before="0"/>
              <w:ind w:left="702" w:hanging="27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Skin biopsy with direct </w:t>
            </w:r>
            <w:r>
              <w:rPr>
                <w:rFonts w:asciiTheme="minorHAnsi" w:hAnsiTheme="minorHAnsi"/>
                <w:color w:val="auto"/>
                <w:sz w:val="22"/>
                <w:szCs w:val="20"/>
              </w:rPr>
              <w:t>IF</w:t>
            </w:r>
            <w:r w:rsidRPr="005E2FA9">
              <w:rPr>
                <w:rFonts w:asciiTheme="minorHAnsi" w:hAnsiTheme="minorHAnsi"/>
                <w:color w:val="auto"/>
                <w:sz w:val="22"/>
                <w:szCs w:val="20"/>
              </w:rPr>
              <w:t>, serum for indirect IF, CBC with diff</w:t>
            </w:r>
            <w:r>
              <w:rPr>
                <w:rFonts w:asciiTheme="minorHAnsi" w:hAnsiTheme="minorHAnsi"/>
                <w:color w:val="auto"/>
                <w:sz w:val="22"/>
                <w:szCs w:val="20"/>
              </w:rPr>
              <w:t>erential</w:t>
            </w:r>
            <w:r w:rsidRPr="005E2FA9">
              <w:rPr>
                <w:rFonts w:asciiTheme="minorHAnsi" w:hAnsiTheme="minorHAnsi"/>
                <w:color w:val="auto"/>
                <w:sz w:val="22"/>
                <w:szCs w:val="20"/>
              </w:rPr>
              <w:t>, IgE</w:t>
            </w:r>
          </w:p>
          <w:p w14:paraId="391A97CF" w14:textId="6BEE2282" w:rsidR="006646B6" w:rsidRPr="005E2FA9"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Systemic </w:t>
            </w:r>
            <w:r w:rsidR="00ED1B0A">
              <w:rPr>
                <w:rFonts w:asciiTheme="minorHAnsi" w:hAnsiTheme="minorHAnsi"/>
                <w:color w:val="auto"/>
                <w:sz w:val="22"/>
                <w:szCs w:val="20"/>
              </w:rPr>
              <w:t>cortico</w:t>
            </w:r>
            <w:r w:rsidRPr="005E2FA9">
              <w:rPr>
                <w:rFonts w:asciiTheme="minorHAnsi" w:hAnsiTheme="minorHAnsi"/>
                <w:color w:val="auto"/>
                <w:sz w:val="22"/>
                <w:szCs w:val="20"/>
              </w:rPr>
              <w:t xml:space="preserve">steroids </w:t>
            </w:r>
          </w:p>
          <w:p w14:paraId="4C3EA07D" w14:textId="023BA5B3" w:rsidR="006646B6" w:rsidRPr="005E2FA9" w:rsidRDefault="006646B6" w:rsidP="001C02AB">
            <w:pPr>
              <w:pStyle w:val="Heading2"/>
              <w:numPr>
                <w:ilvl w:val="1"/>
                <w:numId w:val="2"/>
              </w:numPr>
              <w:spacing w:before="0"/>
              <w:ind w:left="702" w:hanging="27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Prednisone 1mg/kg </w:t>
            </w:r>
            <w:r w:rsidR="00B115B2">
              <w:rPr>
                <w:rFonts w:asciiTheme="minorHAnsi" w:hAnsiTheme="minorHAnsi"/>
                <w:color w:val="auto"/>
                <w:sz w:val="22"/>
                <w:szCs w:val="20"/>
              </w:rPr>
              <w:t>(</w:t>
            </w:r>
            <w:r>
              <w:rPr>
                <w:rFonts w:asciiTheme="minorHAnsi" w:hAnsiTheme="minorHAnsi"/>
                <w:color w:val="auto"/>
                <w:sz w:val="22"/>
                <w:szCs w:val="20"/>
              </w:rPr>
              <w:t>or equivalent</w:t>
            </w:r>
            <w:r w:rsidR="00B115B2">
              <w:rPr>
                <w:rFonts w:asciiTheme="minorHAnsi" w:hAnsiTheme="minorHAnsi"/>
                <w:color w:val="auto"/>
                <w:sz w:val="22"/>
                <w:szCs w:val="20"/>
              </w:rPr>
              <w:t xml:space="preserve"> dose of methylprednisolone)</w:t>
            </w:r>
            <w:r>
              <w:rPr>
                <w:rFonts w:asciiTheme="minorHAnsi" w:hAnsiTheme="minorHAnsi"/>
                <w:color w:val="auto"/>
                <w:sz w:val="22"/>
                <w:szCs w:val="20"/>
              </w:rPr>
              <w:t xml:space="preserve">, </w:t>
            </w:r>
            <w:r w:rsidRPr="005E2FA9">
              <w:rPr>
                <w:rFonts w:asciiTheme="minorHAnsi" w:hAnsiTheme="minorHAnsi"/>
                <w:color w:val="auto"/>
                <w:sz w:val="22"/>
                <w:szCs w:val="20"/>
              </w:rPr>
              <w:t>tapering over two weeks</w:t>
            </w:r>
          </w:p>
          <w:p w14:paraId="199FAF68" w14:textId="77777777" w:rsidR="006646B6"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Add steroid-sparing agent if autoimmune bullous disorder is confirmed</w:t>
            </w:r>
            <w:r>
              <w:rPr>
                <w:rFonts w:asciiTheme="minorHAnsi" w:hAnsiTheme="minorHAnsi"/>
                <w:color w:val="auto"/>
                <w:sz w:val="22"/>
                <w:szCs w:val="20"/>
              </w:rPr>
              <w:t>*</w:t>
            </w:r>
          </w:p>
          <w:p w14:paraId="1E18F403" w14:textId="77777777" w:rsidR="006646B6" w:rsidRPr="005E2FA9"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 </w:t>
            </w:r>
            <w:r>
              <w:rPr>
                <w:rFonts w:asciiTheme="minorHAnsi" w:hAnsiTheme="minorHAnsi"/>
                <w:color w:val="auto"/>
                <w:sz w:val="22"/>
                <w:szCs w:val="20"/>
              </w:rPr>
              <w:t>See bullous pemphigoid recommendations</w:t>
            </w:r>
          </w:p>
        </w:tc>
        <w:tc>
          <w:tcPr>
            <w:tcW w:w="1221" w:type="dxa"/>
            <w:vAlign w:val="center"/>
          </w:tcPr>
          <w:p w14:paraId="3E55D8A7" w14:textId="51D55680" w:rsidR="006646B6" w:rsidRPr="001C02AB" w:rsidRDefault="001C02AB" w:rsidP="001C02AB">
            <w:pPr>
              <w:pStyle w:val="Heading2"/>
              <w:spacing w:before="0"/>
              <w:ind w:left="7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0"/>
              </w:rPr>
            </w:pPr>
            <w:r w:rsidRPr="0001148D">
              <w:rPr>
                <w:rFonts w:asciiTheme="minorHAnsi" w:hAnsiTheme="minorHAnsi"/>
                <w:b/>
                <w:color w:val="auto"/>
                <w:sz w:val="36"/>
                <w:szCs w:val="20"/>
              </w:rPr>
              <w:sym w:font="Wingdings" w:char="F0FC"/>
            </w:r>
          </w:p>
        </w:tc>
      </w:tr>
      <w:tr w:rsidR="006646B6" w:rsidRPr="0012539F" w14:paraId="48C23F02"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985" w:type="dxa"/>
          </w:tcPr>
          <w:p w14:paraId="10A2692B" w14:textId="77777777" w:rsidR="006646B6" w:rsidRPr="005E2FA9" w:rsidRDefault="006646B6" w:rsidP="001C02AB">
            <w:pPr>
              <w:pStyle w:val="Heading2"/>
              <w:spacing w:before="0"/>
              <w:outlineLvl w:val="1"/>
              <w:rPr>
                <w:rFonts w:asciiTheme="minorHAnsi" w:hAnsiTheme="minorHAnsi"/>
                <w:b w:val="0"/>
                <w:color w:val="auto"/>
                <w:sz w:val="22"/>
                <w:szCs w:val="20"/>
              </w:rPr>
            </w:pPr>
            <w:r w:rsidRPr="005E2FA9">
              <w:rPr>
                <w:rFonts w:asciiTheme="minorHAnsi" w:hAnsiTheme="minorHAnsi"/>
                <w:b w:val="0"/>
                <w:color w:val="auto"/>
                <w:sz w:val="22"/>
                <w:szCs w:val="20"/>
              </w:rPr>
              <w:t>4</w:t>
            </w:r>
          </w:p>
        </w:tc>
        <w:tc>
          <w:tcPr>
            <w:tcW w:w="2735" w:type="dxa"/>
          </w:tcPr>
          <w:p w14:paraId="41A95EA1" w14:textId="77777777" w:rsidR="006646B6" w:rsidRPr="006C5CEE"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6C5CEE">
              <w:rPr>
                <w:rFonts w:asciiTheme="minorHAnsi" w:hAnsiTheme="minorHAnsi"/>
                <w:color w:val="auto"/>
                <w:sz w:val="20"/>
                <w:szCs w:val="20"/>
              </w:rPr>
              <w:t xml:space="preserve">Blisters covering &gt;30% BSA; associated with fluid or electrolyte abnormalities; ICU care or burn unit </w:t>
            </w:r>
            <w:r>
              <w:rPr>
                <w:rFonts w:asciiTheme="minorHAnsi" w:hAnsiTheme="minorHAnsi"/>
                <w:color w:val="auto"/>
                <w:sz w:val="20"/>
                <w:szCs w:val="20"/>
              </w:rPr>
              <w:t>i</w:t>
            </w:r>
            <w:r w:rsidRPr="006C5CEE">
              <w:rPr>
                <w:rFonts w:asciiTheme="minorHAnsi" w:hAnsiTheme="minorHAnsi"/>
                <w:color w:val="auto"/>
                <w:sz w:val="20"/>
                <w:szCs w:val="20"/>
              </w:rPr>
              <w:t>ndicated</w:t>
            </w:r>
          </w:p>
        </w:tc>
        <w:tc>
          <w:tcPr>
            <w:tcW w:w="7756" w:type="dxa"/>
          </w:tcPr>
          <w:p w14:paraId="19A00F52" w14:textId="77777777" w:rsidR="006646B6" w:rsidRPr="005E2FA9"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12539F">
              <w:rPr>
                <w:rFonts w:asciiTheme="minorHAnsi" w:hAnsiTheme="minorHAnsi"/>
                <w:color w:val="auto"/>
                <w:sz w:val="22"/>
                <w:szCs w:val="20"/>
              </w:rPr>
              <w:t>Admit</w:t>
            </w:r>
            <w:r w:rsidRPr="005E2FA9">
              <w:rPr>
                <w:rFonts w:asciiTheme="minorHAnsi" w:hAnsiTheme="minorHAnsi"/>
                <w:color w:val="auto"/>
                <w:sz w:val="22"/>
                <w:szCs w:val="20"/>
              </w:rPr>
              <w:t>, dermatology consult</w:t>
            </w:r>
          </w:p>
          <w:p w14:paraId="2C78858C" w14:textId="29AECB64" w:rsidR="006646B6"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 xml:space="preserve">Systemic </w:t>
            </w:r>
            <w:r w:rsidR="00ED1B0A">
              <w:rPr>
                <w:rFonts w:asciiTheme="minorHAnsi" w:hAnsiTheme="minorHAnsi"/>
                <w:color w:val="auto"/>
                <w:sz w:val="22"/>
                <w:szCs w:val="20"/>
              </w:rPr>
              <w:t>cortico</w:t>
            </w:r>
            <w:r w:rsidRPr="005E2FA9">
              <w:rPr>
                <w:rFonts w:asciiTheme="minorHAnsi" w:hAnsiTheme="minorHAnsi"/>
                <w:color w:val="auto"/>
                <w:sz w:val="22"/>
                <w:szCs w:val="20"/>
              </w:rPr>
              <w:t xml:space="preserve">steroids </w:t>
            </w:r>
            <w:r>
              <w:rPr>
                <w:rFonts w:asciiTheme="minorHAnsi" w:hAnsiTheme="minorHAnsi"/>
                <w:color w:val="auto"/>
                <w:sz w:val="22"/>
                <w:szCs w:val="20"/>
              </w:rPr>
              <w:t>per admitting team</w:t>
            </w:r>
          </w:p>
          <w:p w14:paraId="26A80DA6" w14:textId="43605CB3" w:rsidR="006646B6" w:rsidRPr="005E2FA9" w:rsidRDefault="006646B6" w:rsidP="001C02AB">
            <w:pPr>
              <w:pStyle w:val="Heading2"/>
              <w:numPr>
                <w:ilvl w:val="1"/>
                <w:numId w:val="2"/>
              </w:numPr>
              <w:spacing w:before="0"/>
              <w:ind w:left="702" w:hanging="27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Prednisone 1</w:t>
            </w:r>
            <w:r>
              <w:rPr>
                <w:rFonts w:asciiTheme="minorHAnsi" w:hAnsiTheme="minorHAnsi"/>
                <w:color w:val="auto"/>
                <w:sz w:val="22"/>
                <w:szCs w:val="20"/>
              </w:rPr>
              <w:t>-2</w:t>
            </w:r>
            <w:r w:rsidRPr="005E2FA9">
              <w:rPr>
                <w:rFonts w:asciiTheme="minorHAnsi" w:hAnsiTheme="minorHAnsi"/>
                <w:color w:val="auto"/>
                <w:sz w:val="22"/>
                <w:szCs w:val="20"/>
              </w:rPr>
              <w:t xml:space="preserve">mg/kg </w:t>
            </w:r>
            <w:r w:rsidR="00B115B2">
              <w:rPr>
                <w:rFonts w:asciiTheme="minorHAnsi" w:hAnsiTheme="minorHAnsi"/>
                <w:color w:val="auto"/>
                <w:sz w:val="22"/>
                <w:szCs w:val="20"/>
              </w:rPr>
              <w:t>(or equivalent dose of methylprednisolone)</w:t>
            </w:r>
          </w:p>
          <w:p w14:paraId="18205F37" w14:textId="77777777" w:rsidR="006646B6" w:rsidRPr="005E2FA9" w:rsidRDefault="006646B6" w:rsidP="001C02AB">
            <w:pPr>
              <w:pStyle w:val="Heading2"/>
              <w:numPr>
                <w:ilvl w:val="0"/>
                <w:numId w:val="1"/>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5E2FA9">
              <w:rPr>
                <w:rFonts w:asciiTheme="minorHAnsi" w:hAnsiTheme="minorHAnsi"/>
                <w:color w:val="auto"/>
                <w:sz w:val="22"/>
                <w:szCs w:val="20"/>
              </w:rPr>
              <w:t>Steroid-sparing agent per consultant if autoimmune bullous disorder is confirmed</w:t>
            </w:r>
          </w:p>
        </w:tc>
        <w:tc>
          <w:tcPr>
            <w:tcW w:w="1221" w:type="dxa"/>
            <w:vAlign w:val="center"/>
          </w:tcPr>
          <w:p w14:paraId="2CF18684" w14:textId="77777777" w:rsidR="006646B6" w:rsidRPr="0012539F" w:rsidRDefault="006646B6" w:rsidP="001C02AB">
            <w:pPr>
              <w:pStyle w:val="Heading2"/>
              <w:spacing w:before="0"/>
              <w:ind w:left="7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01148D">
              <w:rPr>
                <w:rFonts w:asciiTheme="minorHAnsi" w:hAnsiTheme="minorHAnsi"/>
                <w:b/>
                <w:color w:val="auto"/>
                <w:sz w:val="36"/>
                <w:szCs w:val="20"/>
              </w:rPr>
              <w:sym w:font="Wingdings" w:char="F0FC"/>
            </w:r>
          </w:p>
        </w:tc>
      </w:tr>
      <w:tr w:rsidR="006646B6" w14:paraId="6D266AC0"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12697" w:type="dxa"/>
            <w:gridSpan w:val="4"/>
            <w:shd w:val="clear" w:color="auto" w:fill="auto"/>
            <w:vAlign w:val="center"/>
          </w:tcPr>
          <w:p w14:paraId="5EF80D63" w14:textId="49BE1EE2" w:rsidR="006646B6" w:rsidRDefault="006646B6" w:rsidP="001C02AB">
            <w:pPr>
              <w:pStyle w:val="Heading2"/>
              <w:spacing w:before="0"/>
              <w:outlineLvl w:val="1"/>
              <w:rPr>
                <w:rFonts w:asciiTheme="minorHAnsi" w:hAnsiTheme="minorHAnsi"/>
                <w:color w:val="auto"/>
                <w:sz w:val="22"/>
                <w:szCs w:val="20"/>
              </w:rPr>
            </w:pPr>
            <w:r w:rsidRPr="00935621">
              <w:rPr>
                <w:rFonts w:asciiTheme="minorHAnsi" w:hAnsiTheme="minorHAnsi"/>
                <w:b w:val="0"/>
                <w:color w:val="auto"/>
                <w:sz w:val="20"/>
                <w:szCs w:val="20"/>
              </w:rPr>
              <w:t>Note: Empiric treatment with val</w:t>
            </w:r>
            <w:r w:rsidR="00B64344">
              <w:rPr>
                <w:rFonts w:asciiTheme="minorHAnsi" w:hAnsiTheme="minorHAnsi"/>
                <w:b w:val="0"/>
                <w:color w:val="auto"/>
                <w:sz w:val="20"/>
                <w:szCs w:val="20"/>
              </w:rPr>
              <w:t>a</w:t>
            </w:r>
            <w:r w:rsidRPr="00935621">
              <w:rPr>
                <w:rFonts w:asciiTheme="minorHAnsi" w:hAnsiTheme="minorHAnsi"/>
                <w:b w:val="0"/>
                <w:color w:val="auto"/>
                <w:sz w:val="20"/>
                <w:szCs w:val="20"/>
              </w:rPr>
              <w:t>cyclovir/acyclovir is recommended in any patient with clear evidence of dermatomal varicella zoster</w:t>
            </w:r>
            <w:r w:rsidRPr="001433DE">
              <w:rPr>
                <w:rFonts w:asciiTheme="minorHAnsi" w:hAnsiTheme="minorHAnsi"/>
                <w:b w:val="0"/>
                <w:color w:val="auto"/>
                <w:sz w:val="20"/>
                <w:szCs w:val="20"/>
              </w:rPr>
              <w:t xml:space="preserve"> </w:t>
            </w:r>
          </w:p>
        </w:tc>
      </w:tr>
      <w:tr w:rsidR="006646B6" w14:paraId="59585CF8"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11476" w:type="dxa"/>
            <w:gridSpan w:val="3"/>
            <w:shd w:val="clear" w:color="auto" w:fill="5B9BD5" w:themeFill="accent1"/>
            <w:vAlign w:val="center"/>
          </w:tcPr>
          <w:p w14:paraId="75DA3524" w14:textId="77777777" w:rsidR="006646B6" w:rsidRPr="006E3168" w:rsidRDefault="006646B6" w:rsidP="001C02AB">
            <w:pPr>
              <w:pStyle w:val="Heading2"/>
              <w:spacing w:before="0"/>
              <w:outlineLvl w:val="1"/>
              <w:rPr>
                <w:rFonts w:asciiTheme="minorHAnsi" w:hAnsiTheme="minorHAnsi"/>
                <w:color w:val="auto"/>
                <w:sz w:val="22"/>
                <w:szCs w:val="20"/>
              </w:rPr>
            </w:pPr>
            <w:r>
              <w:rPr>
                <w:rFonts w:asciiTheme="minorHAnsi" w:hAnsiTheme="minorHAnsi"/>
                <w:color w:val="auto"/>
                <w:sz w:val="22"/>
                <w:szCs w:val="20"/>
              </w:rPr>
              <w:t>Bullous pemphigoid*</w:t>
            </w:r>
          </w:p>
        </w:tc>
        <w:tc>
          <w:tcPr>
            <w:tcW w:w="1221" w:type="dxa"/>
            <w:shd w:val="clear" w:color="auto" w:fill="5B9BD5" w:themeFill="accent1"/>
          </w:tcPr>
          <w:p w14:paraId="4F35ADC6" w14:textId="77777777" w:rsidR="006646B6"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p>
        </w:tc>
      </w:tr>
      <w:tr w:rsidR="006646B6" w:rsidRPr="00720343" w14:paraId="1F1417A2"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2DF38058" w14:textId="77777777" w:rsidR="006646B6" w:rsidRPr="00124492" w:rsidRDefault="006646B6" w:rsidP="001C02AB">
            <w:pPr>
              <w:pStyle w:val="ListParagraph"/>
              <w:ind w:left="-23"/>
              <w:rPr>
                <w:b w:val="0"/>
              </w:rPr>
            </w:pPr>
            <w:r w:rsidRPr="004B78BD">
              <w:rPr>
                <w:szCs w:val="20"/>
              </w:rPr>
              <w:t>Grade</w:t>
            </w:r>
          </w:p>
        </w:tc>
        <w:tc>
          <w:tcPr>
            <w:tcW w:w="2735" w:type="dxa"/>
            <w:shd w:val="clear" w:color="auto" w:fill="FFFFFF" w:themeFill="background1"/>
          </w:tcPr>
          <w:p w14:paraId="718F792C" w14:textId="77777777" w:rsidR="006646B6" w:rsidRPr="00124492" w:rsidRDefault="006646B6" w:rsidP="001C02AB">
            <w:pPr>
              <w:pStyle w:val="ListParagraph"/>
              <w:ind w:left="67"/>
              <w:cnfStyle w:val="000000000000" w:firstRow="0" w:lastRow="0" w:firstColumn="0" w:lastColumn="0" w:oddVBand="0" w:evenVBand="0" w:oddHBand="0" w:evenHBand="0" w:firstRowFirstColumn="0" w:firstRowLastColumn="0" w:lastRowFirstColumn="0" w:lastRowLastColumn="0"/>
              <w:rPr>
                <w:b/>
              </w:rPr>
            </w:pPr>
            <w:r w:rsidRPr="00720343">
              <w:rPr>
                <w:b/>
                <w:szCs w:val="20"/>
              </w:rPr>
              <w:t>Description</w:t>
            </w:r>
          </w:p>
        </w:tc>
        <w:tc>
          <w:tcPr>
            <w:tcW w:w="7756" w:type="dxa"/>
            <w:shd w:val="clear" w:color="auto" w:fill="FFFFFF" w:themeFill="background1"/>
          </w:tcPr>
          <w:p w14:paraId="28287895" w14:textId="77777777" w:rsidR="006646B6" w:rsidRPr="00124492" w:rsidRDefault="006646B6" w:rsidP="001C02AB">
            <w:pPr>
              <w:pStyle w:val="ListParagraph"/>
              <w:ind w:left="72"/>
              <w:cnfStyle w:val="000000000000" w:firstRow="0" w:lastRow="0" w:firstColumn="0" w:lastColumn="0" w:oddVBand="0" w:evenVBand="0" w:oddHBand="0" w:evenHBand="0" w:firstRowFirstColumn="0" w:firstRowLastColumn="0" w:lastRowFirstColumn="0" w:lastRowLastColumn="0"/>
              <w:rPr>
                <w:bCs/>
              </w:rPr>
            </w:pPr>
            <w:r w:rsidRPr="00720343">
              <w:rPr>
                <w:b/>
                <w:szCs w:val="20"/>
              </w:rPr>
              <w:t>Management</w:t>
            </w:r>
          </w:p>
        </w:tc>
        <w:tc>
          <w:tcPr>
            <w:tcW w:w="1221" w:type="dxa"/>
            <w:shd w:val="clear" w:color="auto" w:fill="FFFFFF" w:themeFill="background1"/>
          </w:tcPr>
          <w:p w14:paraId="33A6BFAD" w14:textId="77777777" w:rsidR="006646B6" w:rsidRPr="00720343" w:rsidRDefault="006646B6" w:rsidP="001C02AB">
            <w:pPr>
              <w:pStyle w:val="ListParagraph"/>
              <w:ind w:left="72"/>
              <w:jc w:val="center"/>
              <w:cnfStyle w:val="000000000000" w:firstRow="0" w:lastRow="0" w:firstColumn="0" w:lastColumn="0" w:oddVBand="0" w:evenVBand="0" w:oddHBand="0" w:evenHBand="0" w:firstRowFirstColumn="0" w:firstRowLastColumn="0" w:lastRowFirstColumn="0" w:lastRowLastColumn="0"/>
              <w:rPr>
                <w:b/>
                <w:szCs w:val="20"/>
              </w:rPr>
            </w:pPr>
          </w:p>
        </w:tc>
      </w:tr>
      <w:tr w:rsidR="006646B6" w14:paraId="53A80151"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3720" w:type="dxa"/>
            <w:gridSpan w:val="2"/>
            <w:shd w:val="clear" w:color="auto" w:fill="FFFFFF" w:themeFill="background1"/>
            <w:vAlign w:val="center"/>
          </w:tcPr>
          <w:p w14:paraId="60DB55C6" w14:textId="77777777" w:rsidR="006646B6" w:rsidRPr="006F7D7E" w:rsidRDefault="006646B6" w:rsidP="001C02AB">
            <w:pPr>
              <w:pStyle w:val="Heading2"/>
              <w:spacing w:before="0"/>
              <w:outlineLvl w:val="1"/>
              <w:rPr>
                <w:rFonts w:asciiTheme="minorHAnsi" w:hAnsiTheme="minorHAnsi"/>
                <w:b w:val="0"/>
                <w:color w:val="auto"/>
                <w:sz w:val="22"/>
                <w:szCs w:val="22"/>
              </w:rPr>
            </w:pPr>
            <w:r>
              <w:rPr>
                <w:rFonts w:asciiTheme="minorHAnsi" w:hAnsiTheme="minorHAnsi"/>
                <w:b w:val="0"/>
                <w:color w:val="auto"/>
                <w:sz w:val="20"/>
                <w:szCs w:val="20"/>
              </w:rPr>
              <w:t>Not defined in CTCAE but comprises c</w:t>
            </w:r>
            <w:r w:rsidRPr="006F7D7E">
              <w:rPr>
                <w:rFonts w:asciiTheme="minorHAnsi" w:hAnsiTheme="minorHAnsi"/>
                <w:b w:val="0"/>
                <w:color w:val="auto"/>
                <w:sz w:val="20"/>
                <w:szCs w:val="20"/>
              </w:rPr>
              <w:t>lear, fluid filled tense bullae and vesicles with significant itch.</w:t>
            </w:r>
            <w:r>
              <w:rPr>
                <w:rFonts w:asciiTheme="minorHAnsi" w:hAnsiTheme="minorHAnsi"/>
                <w:b w:val="0"/>
                <w:color w:val="auto"/>
                <w:sz w:val="20"/>
                <w:szCs w:val="20"/>
              </w:rPr>
              <w:t xml:space="preserve"> </w:t>
            </w:r>
            <w:r w:rsidRPr="006F7D7E">
              <w:rPr>
                <w:rFonts w:asciiTheme="minorHAnsi" w:hAnsiTheme="minorHAnsi"/>
                <w:b w:val="0"/>
                <w:color w:val="auto"/>
                <w:sz w:val="20"/>
                <w:szCs w:val="20"/>
              </w:rPr>
              <w:t>May involve the mucosa.</w:t>
            </w:r>
            <w:r w:rsidRPr="006F7D7E">
              <w:rPr>
                <w:b w:val="0"/>
              </w:rPr>
              <w:t xml:space="preserve">   </w:t>
            </w:r>
          </w:p>
        </w:tc>
        <w:tc>
          <w:tcPr>
            <w:tcW w:w="7756" w:type="dxa"/>
            <w:shd w:val="clear" w:color="auto" w:fill="FFFFFF" w:themeFill="background1"/>
          </w:tcPr>
          <w:p w14:paraId="59768869" w14:textId="77777777" w:rsidR="006646B6"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rPr>
            </w:pPr>
            <w:r>
              <w:rPr>
                <w:szCs w:val="20"/>
              </w:rPr>
              <w:t>Refer for dermatology consult for diagnosis</w:t>
            </w:r>
          </w:p>
          <w:p w14:paraId="335C0B2C" w14:textId="31BD800A" w:rsidR="006646B6" w:rsidRPr="00124492"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rPr>
            </w:pPr>
            <w:r w:rsidRPr="00124492">
              <w:rPr>
                <w:bCs/>
              </w:rPr>
              <w:t xml:space="preserve">1st Line: Topical </w:t>
            </w:r>
            <w:r w:rsidR="00ED1B0A">
              <w:rPr>
                <w:bCs/>
              </w:rPr>
              <w:t>cortico</w:t>
            </w:r>
            <w:r w:rsidRPr="00124492">
              <w:rPr>
                <w:bCs/>
              </w:rPr>
              <w:t>steroids</w:t>
            </w:r>
          </w:p>
          <w:p w14:paraId="6D256774" w14:textId="6CF6E8CD" w:rsidR="006646B6" w:rsidRPr="00124492"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rPr>
            </w:pPr>
            <w:r w:rsidRPr="00124492">
              <w:rPr>
                <w:bCs/>
              </w:rPr>
              <w:t>2nd Line</w:t>
            </w:r>
            <w:r w:rsidRPr="00124492">
              <w:t xml:space="preserve">: </w:t>
            </w:r>
            <w:r>
              <w:t xml:space="preserve">Oral </w:t>
            </w:r>
            <w:r w:rsidR="00ED1B0A">
              <w:t>cortico</w:t>
            </w:r>
            <w:r>
              <w:t>steroids (prednisone 0.5-1mg/kg</w:t>
            </w:r>
            <w:r w:rsidR="00B115B2">
              <w:t xml:space="preserve">, </w:t>
            </w:r>
            <w:r w:rsidR="00B115B2">
              <w:rPr>
                <w:szCs w:val="20"/>
              </w:rPr>
              <w:t>or equivalent dose of methylprednisolone</w:t>
            </w:r>
            <w:r w:rsidR="00B115B2">
              <w:rPr>
                <w:szCs w:val="20"/>
              </w:rPr>
              <w:t>,</w:t>
            </w:r>
            <w:r>
              <w:t xml:space="preserve"> taper</w:t>
            </w:r>
            <w:r w:rsidR="00B115B2">
              <w:t>ed</w:t>
            </w:r>
            <w:r>
              <w:t xml:space="preserve"> over 2 weeks </w:t>
            </w:r>
          </w:p>
          <w:p w14:paraId="4EFED07D" w14:textId="574DE0C1" w:rsidR="006646B6" w:rsidRPr="00124492"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124492">
              <w:rPr>
                <w:bCs/>
              </w:rPr>
              <w:t xml:space="preserve">3rd Line: </w:t>
            </w:r>
            <w:r>
              <w:rPr>
                <w:bCs/>
              </w:rPr>
              <w:t xml:space="preserve">Minocycline/doxycycline 100mg BID with nicotinamide 500mg BID added when oral </w:t>
            </w:r>
            <w:r w:rsidR="00B115B2">
              <w:rPr>
                <w:bCs/>
              </w:rPr>
              <w:t>cortico</w:t>
            </w:r>
            <w:r>
              <w:rPr>
                <w:bCs/>
              </w:rPr>
              <w:t>steroids are initiated</w:t>
            </w:r>
          </w:p>
          <w:p w14:paraId="20913549" w14:textId="77777777" w:rsidR="006646B6" w:rsidRPr="002737D9"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20"/>
              </w:rPr>
            </w:pPr>
            <w:r w:rsidRPr="00124492">
              <w:rPr>
                <w:bCs/>
              </w:rPr>
              <w:t xml:space="preserve">4th Line: </w:t>
            </w:r>
            <w:r>
              <w:rPr>
                <w:bCs/>
              </w:rPr>
              <w:t>Rituximab (375 mg/m2 once weekly for 4 weeks) or o</w:t>
            </w:r>
            <w:r>
              <w:t>malizumab (if IgE high)</w:t>
            </w:r>
            <w:r w:rsidRPr="00720343">
              <w:rPr>
                <w:sz w:val="28"/>
                <w:vertAlign w:val="superscript"/>
              </w:rPr>
              <w:t>§</w:t>
            </w:r>
            <w:r>
              <w:t xml:space="preserve"> </w:t>
            </w:r>
          </w:p>
          <w:p w14:paraId="7DB5FE3E" w14:textId="77777777" w:rsidR="006646B6"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20"/>
              </w:rPr>
            </w:pPr>
            <w:r>
              <w:t>5</w:t>
            </w:r>
            <w:r w:rsidRPr="004D7D86">
              <w:rPr>
                <w:vertAlign w:val="superscript"/>
              </w:rPr>
              <w:t>th</w:t>
            </w:r>
            <w:r>
              <w:t xml:space="preserve"> Line: Methotrexat</w:t>
            </w:r>
            <w:r w:rsidRPr="004D7D86">
              <w:rPr>
                <w:sz w:val="24"/>
                <w:szCs w:val="24"/>
              </w:rPr>
              <w:t>e</w:t>
            </w:r>
            <w:r w:rsidRPr="004D7D86">
              <w:rPr>
                <w:vertAlign w:val="superscript"/>
              </w:rPr>
              <w:t>§</w:t>
            </w:r>
            <w:r w:rsidRPr="004D7D86">
              <w:t>, titrating up to 25mg weekly</w:t>
            </w:r>
          </w:p>
        </w:tc>
        <w:tc>
          <w:tcPr>
            <w:tcW w:w="1221" w:type="dxa"/>
            <w:shd w:val="clear" w:color="auto" w:fill="FFFFFF" w:themeFill="background1"/>
            <w:vAlign w:val="center"/>
          </w:tcPr>
          <w:p w14:paraId="49E790BA" w14:textId="77777777" w:rsidR="006646B6" w:rsidRDefault="006646B6" w:rsidP="001C02AB">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01148D">
              <w:rPr>
                <w:b/>
                <w:sz w:val="36"/>
                <w:szCs w:val="20"/>
              </w:rPr>
              <w:sym w:font="Wingdings" w:char="F0FC"/>
            </w:r>
          </w:p>
        </w:tc>
      </w:tr>
      <w:tr w:rsidR="006646B6" w:rsidRPr="006E3168" w14:paraId="09289CD5"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12697" w:type="dxa"/>
            <w:gridSpan w:val="4"/>
            <w:shd w:val="clear" w:color="auto" w:fill="FFFFFF" w:themeFill="background1"/>
            <w:vAlign w:val="center"/>
          </w:tcPr>
          <w:p w14:paraId="6F4760C8" w14:textId="1DB3A031" w:rsidR="006646B6" w:rsidRPr="001433DE" w:rsidRDefault="006646B6" w:rsidP="001C02AB">
            <w:pPr>
              <w:pStyle w:val="Heading2"/>
              <w:spacing w:before="0"/>
              <w:outlineLvl w:val="1"/>
              <w:rPr>
                <w:rFonts w:asciiTheme="minorHAnsi" w:hAnsiTheme="minorHAnsi"/>
                <w:b w:val="0"/>
                <w:color w:val="auto"/>
                <w:sz w:val="20"/>
                <w:szCs w:val="20"/>
              </w:rPr>
            </w:pPr>
            <w:r w:rsidRPr="00935621">
              <w:rPr>
                <w:rFonts w:asciiTheme="minorHAnsi" w:hAnsiTheme="minorHAnsi"/>
                <w:b w:val="0"/>
                <w:color w:val="auto"/>
                <w:sz w:val="20"/>
                <w:szCs w:val="20"/>
              </w:rPr>
              <w:t>Notes: Empiric treatment with val</w:t>
            </w:r>
            <w:r w:rsidR="00B64344">
              <w:rPr>
                <w:rFonts w:asciiTheme="minorHAnsi" w:hAnsiTheme="minorHAnsi"/>
                <w:b w:val="0"/>
                <w:color w:val="auto"/>
                <w:sz w:val="20"/>
                <w:szCs w:val="20"/>
              </w:rPr>
              <w:t>a</w:t>
            </w:r>
            <w:r w:rsidRPr="00935621">
              <w:rPr>
                <w:rFonts w:asciiTheme="minorHAnsi" w:hAnsiTheme="minorHAnsi"/>
                <w:b w:val="0"/>
                <w:color w:val="auto"/>
                <w:sz w:val="20"/>
                <w:szCs w:val="20"/>
              </w:rPr>
              <w:t>cyclovir/acyclovir is recommended in any patient with clear evidence of dermatomal varicella zoster</w:t>
            </w:r>
          </w:p>
          <w:p w14:paraId="2058C920" w14:textId="77777777" w:rsidR="006646B6" w:rsidRPr="006E3168" w:rsidRDefault="006646B6" w:rsidP="001C02AB">
            <w:pPr>
              <w:pStyle w:val="Heading2"/>
              <w:spacing w:before="0"/>
              <w:outlineLvl w:val="1"/>
              <w:rPr>
                <w:rFonts w:asciiTheme="minorHAnsi" w:hAnsiTheme="minorHAnsi"/>
                <w:color w:val="auto"/>
                <w:sz w:val="22"/>
                <w:szCs w:val="20"/>
              </w:rPr>
            </w:pPr>
            <w:r w:rsidRPr="00673B31">
              <w:rPr>
                <w:rFonts w:asciiTheme="minorHAnsi" w:hAnsiTheme="minorHAnsi"/>
                <w:b w:val="0"/>
                <w:color w:val="auto"/>
                <w:sz w:val="20"/>
                <w:szCs w:val="20"/>
              </w:rPr>
              <w:t>* Recommendations provided are based on case reports, series and expert consensus. Use of suggested therapies must be discussed with medical oncology based on individual patient considerations. The impact of these therapies on the anti-tumor immune response and efficacy of cancer treatment is unknown and requires further research</w:t>
            </w:r>
          </w:p>
        </w:tc>
      </w:tr>
      <w:tr w:rsidR="006646B6" w:rsidRPr="006E3168" w14:paraId="04F9831A" w14:textId="77777777" w:rsidTr="001C02AB">
        <w:trPr>
          <w:cantSplit/>
          <w:trHeight w:val="377"/>
        </w:trPr>
        <w:tc>
          <w:tcPr>
            <w:cnfStyle w:val="001000000000" w:firstRow="0" w:lastRow="0" w:firstColumn="1" w:lastColumn="0" w:oddVBand="0" w:evenVBand="0" w:oddHBand="0" w:evenHBand="0" w:firstRowFirstColumn="0" w:firstRowLastColumn="0" w:lastRowFirstColumn="0" w:lastRowLastColumn="0"/>
            <w:tcW w:w="11476" w:type="dxa"/>
            <w:gridSpan w:val="3"/>
            <w:shd w:val="clear" w:color="auto" w:fill="5B9BD5" w:themeFill="accent1"/>
            <w:vAlign w:val="center"/>
          </w:tcPr>
          <w:p w14:paraId="76154070" w14:textId="77777777" w:rsidR="006646B6" w:rsidRPr="006F7D7E" w:rsidRDefault="006646B6" w:rsidP="001C02AB">
            <w:pPr>
              <w:pStyle w:val="Heading2"/>
              <w:spacing w:before="0"/>
              <w:outlineLvl w:val="1"/>
              <w:rPr>
                <w:rFonts w:asciiTheme="minorHAnsi" w:hAnsiTheme="minorHAnsi"/>
                <w:color w:val="FF0000"/>
                <w:sz w:val="20"/>
                <w:szCs w:val="20"/>
              </w:rPr>
            </w:pPr>
            <w:r w:rsidRPr="006F7D7E">
              <w:rPr>
                <w:rFonts w:asciiTheme="minorHAnsi" w:hAnsiTheme="minorHAnsi"/>
                <w:color w:val="auto"/>
                <w:sz w:val="22"/>
                <w:szCs w:val="20"/>
              </w:rPr>
              <w:t>Psoriasis/Psoriasisiform dermatitis*</w:t>
            </w:r>
          </w:p>
        </w:tc>
        <w:tc>
          <w:tcPr>
            <w:tcW w:w="1221" w:type="dxa"/>
            <w:shd w:val="clear" w:color="auto" w:fill="5B9BD5" w:themeFill="accent1"/>
          </w:tcPr>
          <w:p w14:paraId="2855F735" w14:textId="77777777" w:rsidR="006646B6" w:rsidRPr="006E3168"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p>
        </w:tc>
      </w:tr>
      <w:tr w:rsidR="006646B6" w:rsidRPr="00720343" w14:paraId="1172AEDD"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73271D90" w14:textId="77777777" w:rsidR="006646B6" w:rsidRPr="006E3168" w:rsidRDefault="006646B6" w:rsidP="001C02AB">
            <w:pPr>
              <w:pStyle w:val="Heading2"/>
              <w:spacing w:before="0"/>
              <w:outlineLvl w:val="1"/>
              <w:rPr>
                <w:rFonts w:asciiTheme="minorHAnsi" w:hAnsiTheme="minorHAnsi"/>
                <w:b w:val="0"/>
                <w:bCs w:val="0"/>
                <w:color w:val="auto"/>
                <w:sz w:val="22"/>
                <w:szCs w:val="20"/>
              </w:rPr>
            </w:pPr>
            <w:r w:rsidRPr="004B78BD">
              <w:rPr>
                <w:rFonts w:asciiTheme="minorHAnsi" w:hAnsiTheme="minorHAnsi"/>
                <w:color w:val="auto"/>
                <w:sz w:val="22"/>
                <w:szCs w:val="20"/>
              </w:rPr>
              <w:t>Grade</w:t>
            </w:r>
          </w:p>
        </w:tc>
        <w:tc>
          <w:tcPr>
            <w:tcW w:w="2735" w:type="dxa"/>
            <w:shd w:val="clear" w:color="auto" w:fill="FFFFFF" w:themeFill="background1"/>
          </w:tcPr>
          <w:p w14:paraId="3EA60217" w14:textId="77777777" w:rsidR="006646B6" w:rsidRPr="006E3168"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2"/>
                <w:szCs w:val="20"/>
              </w:rPr>
            </w:pPr>
            <w:r w:rsidRPr="00720343">
              <w:rPr>
                <w:rFonts w:asciiTheme="minorHAnsi" w:hAnsiTheme="minorHAnsi"/>
                <w:b/>
                <w:color w:val="auto"/>
                <w:sz w:val="22"/>
                <w:szCs w:val="20"/>
              </w:rPr>
              <w:t>Description</w:t>
            </w:r>
          </w:p>
        </w:tc>
        <w:tc>
          <w:tcPr>
            <w:tcW w:w="7756" w:type="dxa"/>
            <w:shd w:val="clear" w:color="auto" w:fill="FFFFFF" w:themeFill="background1"/>
          </w:tcPr>
          <w:p w14:paraId="01AB120A" w14:textId="77777777" w:rsidR="006646B6" w:rsidRPr="006E3168" w:rsidRDefault="006646B6" w:rsidP="001C02AB">
            <w:pPr>
              <w:pStyle w:val="Heading2"/>
              <w:spacing w:before="0"/>
              <w:ind w:left="7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720343">
              <w:rPr>
                <w:rFonts w:asciiTheme="minorHAnsi" w:hAnsiTheme="minorHAnsi"/>
                <w:b/>
                <w:color w:val="auto"/>
                <w:sz w:val="22"/>
                <w:szCs w:val="20"/>
              </w:rPr>
              <w:t>Management</w:t>
            </w:r>
          </w:p>
        </w:tc>
        <w:tc>
          <w:tcPr>
            <w:tcW w:w="1221" w:type="dxa"/>
            <w:shd w:val="clear" w:color="auto" w:fill="FFFFFF" w:themeFill="background1"/>
          </w:tcPr>
          <w:p w14:paraId="1ADFA968" w14:textId="77777777" w:rsidR="006646B6" w:rsidRPr="00720343" w:rsidRDefault="006646B6" w:rsidP="001C02AB">
            <w:pPr>
              <w:pStyle w:val="Heading2"/>
              <w:spacing w:before="0"/>
              <w:ind w:left="7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0"/>
              </w:rPr>
            </w:pPr>
          </w:p>
        </w:tc>
      </w:tr>
      <w:tr w:rsidR="006646B6" w:rsidRPr="00645A3E" w14:paraId="47745418" w14:textId="77777777" w:rsidTr="001C02AB">
        <w:trPr>
          <w:cantSplit/>
          <w:trHeight w:val="333"/>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77AB019D" w14:textId="77777777" w:rsidR="006646B6" w:rsidRPr="006E3168" w:rsidRDefault="006646B6" w:rsidP="001C02AB">
            <w:pPr>
              <w:pStyle w:val="Heading2"/>
              <w:spacing w:before="0"/>
              <w:outlineLvl w:val="1"/>
              <w:rPr>
                <w:rFonts w:asciiTheme="minorHAnsi" w:hAnsiTheme="minorHAnsi"/>
                <w:b w:val="0"/>
                <w:bCs w:val="0"/>
                <w:color w:val="auto"/>
                <w:sz w:val="22"/>
                <w:szCs w:val="20"/>
              </w:rPr>
            </w:pPr>
            <w:r w:rsidRPr="006E3168">
              <w:rPr>
                <w:rFonts w:asciiTheme="minorHAnsi" w:hAnsiTheme="minorHAnsi"/>
                <w:b w:val="0"/>
                <w:bCs w:val="0"/>
                <w:color w:val="auto"/>
                <w:sz w:val="22"/>
                <w:szCs w:val="20"/>
              </w:rPr>
              <w:t>1</w:t>
            </w:r>
            <w:r>
              <w:rPr>
                <w:rFonts w:asciiTheme="minorHAnsi" w:hAnsiTheme="minorHAnsi"/>
                <w:b w:val="0"/>
                <w:bCs w:val="0"/>
                <w:color w:val="auto"/>
                <w:sz w:val="22"/>
                <w:szCs w:val="20"/>
              </w:rPr>
              <w:t xml:space="preserve"> or 2</w:t>
            </w:r>
          </w:p>
        </w:tc>
        <w:tc>
          <w:tcPr>
            <w:tcW w:w="2735" w:type="dxa"/>
            <w:vMerge w:val="restart"/>
            <w:shd w:val="clear" w:color="auto" w:fill="FFFFFF" w:themeFill="background1"/>
            <w:vAlign w:val="center"/>
          </w:tcPr>
          <w:p w14:paraId="7669E01D" w14:textId="77777777" w:rsidR="006646B6" w:rsidRPr="004C5424"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pPr>
            <w:r w:rsidRPr="006C5CEE">
              <w:rPr>
                <w:rFonts w:asciiTheme="minorHAnsi" w:hAnsiTheme="minorHAnsi"/>
                <w:bCs/>
                <w:color w:val="auto"/>
                <w:sz w:val="20"/>
                <w:szCs w:val="20"/>
              </w:rPr>
              <w:t>Not defined in CTCAE</w:t>
            </w:r>
            <w:r>
              <w:rPr>
                <w:rFonts w:asciiTheme="minorHAnsi" w:hAnsiTheme="minorHAnsi"/>
                <w:bCs/>
                <w:color w:val="auto"/>
                <w:sz w:val="20"/>
                <w:szCs w:val="20"/>
              </w:rPr>
              <w:t xml:space="preserve"> but comprises p</w:t>
            </w:r>
            <w:r w:rsidRPr="006F7D7E">
              <w:rPr>
                <w:rFonts w:asciiTheme="minorHAnsi" w:hAnsiTheme="minorHAnsi"/>
                <w:bCs/>
                <w:color w:val="auto"/>
                <w:sz w:val="20"/>
                <w:szCs w:val="20"/>
              </w:rPr>
              <w:t xml:space="preserve">ink to red papules </w:t>
            </w:r>
            <w:r w:rsidRPr="006F7D7E">
              <w:rPr>
                <w:rFonts w:asciiTheme="minorHAnsi" w:hAnsiTheme="minorHAnsi"/>
                <w:bCs/>
                <w:color w:val="auto"/>
                <w:sz w:val="20"/>
                <w:szCs w:val="20"/>
              </w:rPr>
              <w:lastRenderedPageBreak/>
              <w:t>(&lt;1cm) and plaques with a white or silvery scale.  May be associated with nail changes and inflammatory joint symptoms.</w:t>
            </w:r>
            <w:r>
              <w:t xml:space="preserve">  </w:t>
            </w:r>
          </w:p>
        </w:tc>
        <w:tc>
          <w:tcPr>
            <w:tcW w:w="7756" w:type="dxa"/>
            <w:shd w:val="clear" w:color="auto" w:fill="FFFFFF" w:themeFill="background1"/>
          </w:tcPr>
          <w:p w14:paraId="56C7B0F2" w14:textId="77777777" w:rsidR="006646B6" w:rsidRDefault="006646B6" w:rsidP="001C02AB">
            <w:pPr>
              <w:pStyle w:val="Heading2"/>
              <w:numPr>
                <w:ilvl w:val="0"/>
                <w:numId w:val="2"/>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645A3E">
              <w:rPr>
                <w:rFonts w:asciiTheme="minorHAnsi" w:hAnsiTheme="minorHAnsi"/>
                <w:color w:val="auto"/>
                <w:sz w:val="22"/>
                <w:szCs w:val="20"/>
              </w:rPr>
              <w:lastRenderedPageBreak/>
              <w:t>Non-acute dermatology referral</w:t>
            </w:r>
            <w:r w:rsidRPr="005E2FA9">
              <w:rPr>
                <w:rFonts w:asciiTheme="minorHAnsi" w:hAnsiTheme="minorHAnsi"/>
                <w:color w:val="auto"/>
                <w:sz w:val="22"/>
                <w:szCs w:val="20"/>
              </w:rPr>
              <w:t xml:space="preserve"> </w:t>
            </w:r>
          </w:p>
          <w:p w14:paraId="45DC09DB" w14:textId="0353C579" w:rsidR="006646B6" w:rsidRPr="006E3168" w:rsidRDefault="006646B6" w:rsidP="001C02AB">
            <w:pPr>
              <w:pStyle w:val="Heading2"/>
              <w:numPr>
                <w:ilvl w:val="0"/>
                <w:numId w:val="2"/>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6E3168">
              <w:rPr>
                <w:rFonts w:asciiTheme="minorHAnsi" w:hAnsiTheme="minorHAnsi"/>
                <w:color w:val="auto"/>
                <w:sz w:val="22"/>
                <w:szCs w:val="20"/>
              </w:rPr>
              <w:t xml:space="preserve">Topical </w:t>
            </w:r>
            <w:r w:rsidR="00ED1B0A">
              <w:rPr>
                <w:rFonts w:asciiTheme="minorHAnsi" w:hAnsiTheme="minorHAnsi"/>
                <w:color w:val="auto"/>
                <w:sz w:val="22"/>
                <w:szCs w:val="20"/>
              </w:rPr>
              <w:t>cortico</w:t>
            </w:r>
            <w:r w:rsidRPr="006E3168">
              <w:rPr>
                <w:rFonts w:asciiTheme="minorHAnsi" w:hAnsiTheme="minorHAnsi"/>
                <w:color w:val="auto"/>
                <w:sz w:val="22"/>
                <w:szCs w:val="20"/>
              </w:rPr>
              <w:t>steroids/tazarotene</w:t>
            </w:r>
            <w:r>
              <w:rPr>
                <w:rFonts w:asciiTheme="minorHAnsi" w:hAnsiTheme="minorHAnsi"/>
                <w:color w:val="auto"/>
                <w:sz w:val="22"/>
                <w:szCs w:val="20"/>
              </w:rPr>
              <w:t>/calcipotriene</w:t>
            </w:r>
          </w:p>
        </w:tc>
        <w:tc>
          <w:tcPr>
            <w:tcW w:w="1221" w:type="dxa"/>
            <w:shd w:val="clear" w:color="auto" w:fill="FFFFFF" w:themeFill="background1"/>
            <w:vAlign w:val="center"/>
          </w:tcPr>
          <w:p w14:paraId="2572FD83" w14:textId="77777777" w:rsidR="006646B6" w:rsidRPr="00645A3E" w:rsidRDefault="006646B6" w:rsidP="001C02AB">
            <w:pPr>
              <w:pStyle w:val="Heading2"/>
              <w:spacing w:before="0"/>
              <w:ind w:left="-18"/>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01148D">
              <w:rPr>
                <w:rFonts w:asciiTheme="minorHAnsi" w:hAnsiTheme="minorHAnsi"/>
                <w:b/>
                <w:color w:val="auto"/>
                <w:sz w:val="36"/>
                <w:szCs w:val="20"/>
              </w:rPr>
              <w:sym w:font="Wingdings" w:char="F0FC"/>
            </w:r>
          </w:p>
        </w:tc>
      </w:tr>
      <w:tr w:rsidR="006646B6" w14:paraId="3B1632CB" w14:textId="77777777" w:rsidTr="001C02AB">
        <w:trPr>
          <w:cantSplit/>
          <w:trHeight w:val="676"/>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54CAFDD3" w14:textId="77777777" w:rsidR="006646B6" w:rsidRPr="006E3168" w:rsidRDefault="006646B6" w:rsidP="001C02AB">
            <w:pPr>
              <w:pStyle w:val="Heading2"/>
              <w:spacing w:before="0"/>
              <w:outlineLvl w:val="1"/>
              <w:rPr>
                <w:rFonts w:asciiTheme="minorHAnsi" w:hAnsiTheme="minorHAnsi"/>
                <w:b w:val="0"/>
                <w:bCs w:val="0"/>
                <w:color w:val="auto"/>
                <w:sz w:val="22"/>
                <w:szCs w:val="20"/>
              </w:rPr>
            </w:pPr>
            <w:r w:rsidRPr="006E3168">
              <w:rPr>
                <w:rFonts w:asciiTheme="minorHAnsi" w:hAnsiTheme="minorHAnsi"/>
                <w:b w:val="0"/>
                <w:bCs w:val="0"/>
                <w:color w:val="auto"/>
                <w:sz w:val="22"/>
                <w:szCs w:val="20"/>
              </w:rPr>
              <w:lastRenderedPageBreak/>
              <w:t>3</w:t>
            </w:r>
            <w:r>
              <w:rPr>
                <w:rFonts w:asciiTheme="minorHAnsi" w:hAnsiTheme="minorHAnsi"/>
                <w:b w:val="0"/>
                <w:bCs w:val="0"/>
                <w:color w:val="auto"/>
                <w:sz w:val="22"/>
                <w:szCs w:val="20"/>
              </w:rPr>
              <w:t xml:space="preserve"> </w:t>
            </w:r>
          </w:p>
        </w:tc>
        <w:tc>
          <w:tcPr>
            <w:tcW w:w="2735" w:type="dxa"/>
            <w:vMerge/>
            <w:shd w:val="clear" w:color="auto" w:fill="FFFFFF" w:themeFill="background1"/>
          </w:tcPr>
          <w:p w14:paraId="0A787114" w14:textId="77777777" w:rsidR="006646B6" w:rsidRPr="006E3168" w:rsidRDefault="006646B6" w:rsidP="001C02AB">
            <w:pPr>
              <w:pStyle w:val="Heading2"/>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0"/>
              </w:rPr>
            </w:pPr>
          </w:p>
        </w:tc>
        <w:tc>
          <w:tcPr>
            <w:tcW w:w="7756" w:type="dxa"/>
            <w:shd w:val="clear" w:color="auto" w:fill="FFFFFF" w:themeFill="background1"/>
          </w:tcPr>
          <w:p w14:paraId="4996D58C" w14:textId="77777777" w:rsidR="006646B6" w:rsidRPr="006F7D7E" w:rsidRDefault="006646B6" w:rsidP="001C02AB">
            <w:pPr>
              <w:pStyle w:val="Heading2"/>
              <w:numPr>
                <w:ilvl w:val="0"/>
                <w:numId w:val="4"/>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6F7D7E">
              <w:rPr>
                <w:rFonts w:asciiTheme="minorHAnsi" w:hAnsiTheme="minorHAnsi"/>
                <w:color w:val="auto"/>
                <w:sz w:val="22"/>
                <w:szCs w:val="20"/>
              </w:rPr>
              <w:t xml:space="preserve">Refer for dermatology consult </w:t>
            </w:r>
          </w:p>
          <w:p w14:paraId="3A8B2810" w14:textId="3FCB6443" w:rsidR="006646B6" w:rsidRDefault="006646B6" w:rsidP="001C02AB">
            <w:pPr>
              <w:pStyle w:val="Heading2"/>
              <w:numPr>
                <w:ilvl w:val="0"/>
                <w:numId w:val="4"/>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Pr>
                <w:rFonts w:asciiTheme="minorHAnsi" w:hAnsiTheme="minorHAnsi"/>
                <w:color w:val="auto"/>
                <w:sz w:val="22"/>
                <w:szCs w:val="20"/>
              </w:rPr>
              <w:t>1</w:t>
            </w:r>
            <w:r>
              <w:rPr>
                <w:rFonts w:asciiTheme="minorHAnsi" w:hAnsiTheme="minorHAnsi"/>
                <w:color w:val="auto"/>
                <w:sz w:val="22"/>
                <w:szCs w:val="20"/>
                <w:vertAlign w:val="superscript"/>
              </w:rPr>
              <w:t xml:space="preserve">st </w:t>
            </w:r>
            <w:r>
              <w:rPr>
                <w:rFonts w:asciiTheme="minorHAnsi" w:hAnsiTheme="minorHAnsi"/>
                <w:color w:val="auto"/>
                <w:sz w:val="22"/>
                <w:szCs w:val="20"/>
              </w:rPr>
              <w:t xml:space="preserve">line: Topical </w:t>
            </w:r>
            <w:r w:rsidR="00ED1B0A">
              <w:rPr>
                <w:rFonts w:asciiTheme="minorHAnsi" w:hAnsiTheme="minorHAnsi"/>
                <w:color w:val="auto"/>
                <w:sz w:val="22"/>
                <w:szCs w:val="20"/>
              </w:rPr>
              <w:t>cortico</w:t>
            </w:r>
            <w:r>
              <w:rPr>
                <w:rFonts w:asciiTheme="minorHAnsi" w:hAnsiTheme="minorHAnsi"/>
                <w:color w:val="auto"/>
                <w:sz w:val="22"/>
                <w:szCs w:val="20"/>
              </w:rPr>
              <w:t>steroids and calcineurin inhibitors</w:t>
            </w:r>
          </w:p>
          <w:p w14:paraId="078CBD3E" w14:textId="77777777" w:rsidR="006646B6" w:rsidRDefault="006646B6" w:rsidP="001C02AB">
            <w:pPr>
              <w:pStyle w:val="Heading2"/>
              <w:numPr>
                <w:ilvl w:val="0"/>
                <w:numId w:val="4"/>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Pr>
                <w:rFonts w:asciiTheme="minorHAnsi" w:hAnsiTheme="minorHAnsi"/>
                <w:color w:val="auto"/>
                <w:sz w:val="22"/>
                <w:szCs w:val="20"/>
              </w:rPr>
              <w:t>2</w:t>
            </w:r>
            <w:r w:rsidRPr="006F7D7E">
              <w:rPr>
                <w:rFonts w:asciiTheme="minorHAnsi" w:hAnsiTheme="minorHAnsi"/>
                <w:color w:val="auto"/>
                <w:sz w:val="22"/>
                <w:szCs w:val="20"/>
                <w:vertAlign w:val="superscript"/>
              </w:rPr>
              <w:t xml:space="preserve">nd </w:t>
            </w:r>
            <w:r>
              <w:rPr>
                <w:rFonts w:asciiTheme="minorHAnsi" w:hAnsiTheme="minorHAnsi"/>
                <w:color w:val="auto"/>
                <w:sz w:val="22"/>
                <w:szCs w:val="20"/>
              </w:rPr>
              <w:t xml:space="preserve">line: </w:t>
            </w:r>
            <w:r w:rsidRPr="004C5424">
              <w:rPr>
                <w:rFonts w:asciiTheme="minorHAnsi" w:hAnsiTheme="minorHAnsi"/>
                <w:color w:val="auto"/>
                <w:sz w:val="22"/>
                <w:szCs w:val="20"/>
              </w:rPr>
              <w:t>Phototherapy</w:t>
            </w:r>
            <w:r>
              <w:rPr>
                <w:rFonts w:asciiTheme="minorHAnsi" w:hAnsiTheme="minorHAnsi"/>
                <w:color w:val="auto"/>
                <w:sz w:val="22"/>
                <w:szCs w:val="20"/>
              </w:rPr>
              <w:t xml:space="preserve"> using narrow-band UVB per standard psoriasis protocols</w:t>
            </w:r>
          </w:p>
          <w:p w14:paraId="3D449551" w14:textId="570CA260" w:rsidR="006646B6" w:rsidRPr="006F7D7E" w:rsidRDefault="006646B6" w:rsidP="001C02AB">
            <w:pPr>
              <w:pStyle w:val="Heading2"/>
              <w:numPr>
                <w:ilvl w:val="0"/>
                <w:numId w:val="4"/>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6F7D7E">
              <w:rPr>
                <w:rFonts w:asciiTheme="minorHAnsi" w:hAnsiTheme="minorHAnsi"/>
                <w:color w:val="auto"/>
                <w:sz w:val="22"/>
                <w:szCs w:val="20"/>
              </w:rPr>
              <w:t>3</w:t>
            </w:r>
            <w:r w:rsidRPr="006F7D7E">
              <w:rPr>
                <w:rFonts w:asciiTheme="minorHAnsi" w:hAnsiTheme="minorHAnsi"/>
                <w:color w:val="auto"/>
                <w:sz w:val="22"/>
                <w:szCs w:val="20"/>
                <w:vertAlign w:val="superscript"/>
              </w:rPr>
              <w:t>rd</w:t>
            </w:r>
            <w:r w:rsidRPr="006F7D7E">
              <w:rPr>
                <w:rFonts w:asciiTheme="minorHAnsi" w:hAnsiTheme="minorHAnsi"/>
                <w:color w:val="auto"/>
                <w:sz w:val="22"/>
                <w:szCs w:val="20"/>
              </w:rPr>
              <w:t xml:space="preserve"> line: Acitretin, starting 10mg daily and titrating up to 25mg daily af</w:t>
            </w:r>
            <w:r w:rsidR="00B115B2">
              <w:rPr>
                <w:rFonts w:asciiTheme="minorHAnsi" w:hAnsiTheme="minorHAnsi"/>
                <w:color w:val="auto"/>
                <w:sz w:val="22"/>
                <w:szCs w:val="20"/>
              </w:rPr>
              <w:t>ter 8 weeks if not sufficient</w:t>
            </w:r>
          </w:p>
          <w:p w14:paraId="0B211B32" w14:textId="77777777" w:rsidR="006646B6" w:rsidRPr="006F7D7E" w:rsidRDefault="006646B6" w:rsidP="001C02AB">
            <w:pPr>
              <w:pStyle w:val="Heading2"/>
              <w:numPr>
                <w:ilvl w:val="0"/>
                <w:numId w:val="4"/>
              </w:numPr>
              <w:spacing w:before="0"/>
              <w:ind w:left="252" w:hanging="1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6F7D7E">
              <w:rPr>
                <w:rFonts w:asciiTheme="minorHAnsi" w:hAnsiTheme="minorHAnsi"/>
                <w:color w:val="auto"/>
                <w:sz w:val="22"/>
                <w:szCs w:val="20"/>
              </w:rPr>
              <w:t>If joints involved, refer for rheumatology consult and consider the following</w:t>
            </w:r>
            <w:r>
              <w:rPr>
                <w:rFonts w:asciiTheme="minorHAnsi" w:hAnsiTheme="minorHAnsi"/>
                <w:color w:val="auto"/>
                <w:sz w:val="22"/>
                <w:szCs w:val="20"/>
              </w:rPr>
              <w:t>:</w:t>
            </w:r>
          </w:p>
          <w:p w14:paraId="101D0DAE" w14:textId="77777777" w:rsidR="006646B6" w:rsidRDefault="006646B6" w:rsidP="001C02AB">
            <w:pPr>
              <w:pStyle w:val="ListParagraph"/>
              <w:numPr>
                <w:ilvl w:val="0"/>
                <w:numId w:val="4"/>
              </w:numPr>
              <w:ind w:left="252" w:hanging="180"/>
              <w:cnfStyle w:val="000000000000" w:firstRow="0" w:lastRow="0" w:firstColumn="0" w:lastColumn="0" w:oddVBand="0" w:evenVBand="0" w:oddHBand="0" w:evenHBand="0" w:firstRowFirstColumn="0" w:firstRowLastColumn="0" w:lastRowFirstColumn="0" w:lastRowLastColumn="0"/>
            </w:pPr>
            <w:r>
              <w:t>4</w:t>
            </w:r>
            <w:r w:rsidRPr="0048501B">
              <w:rPr>
                <w:vertAlign w:val="superscript"/>
              </w:rPr>
              <w:t>rd</w:t>
            </w:r>
            <w:r>
              <w:t xml:space="preserve"> line: Apremilast 30mg BID</w:t>
            </w:r>
          </w:p>
          <w:p w14:paraId="45A28EBF" w14:textId="77777777" w:rsidR="006646B6" w:rsidRDefault="006646B6" w:rsidP="001C02AB">
            <w:pPr>
              <w:pStyle w:val="ListParagraph"/>
              <w:numPr>
                <w:ilvl w:val="0"/>
                <w:numId w:val="4"/>
              </w:numPr>
              <w:ind w:left="252" w:hanging="180"/>
              <w:cnfStyle w:val="000000000000" w:firstRow="0" w:lastRow="0" w:firstColumn="0" w:lastColumn="0" w:oddVBand="0" w:evenVBand="0" w:oddHBand="0" w:evenHBand="0" w:firstRowFirstColumn="0" w:firstRowLastColumn="0" w:lastRowFirstColumn="0" w:lastRowLastColumn="0"/>
            </w:pPr>
            <w:r>
              <w:t>5</w:t>
            </w:r>
            <w:r w:rsidRPr="0048501B">
              <w:rPr>
                <w:vertAlign w:val="superscript"/>
              </w:rPr>
              <w:t>th</w:t>
            </w:r>
            <w:r>
              <w:t xml:space="preserve"> line: Methotrexate</w:t>
            </w:r>
            <w:r w:rsidRPr="00720343">
              <w:rPr>
                <w:sz w:val="28"/>
                <w:vertAlign w:val="superscript"/>
              </w:rPr>
              <w:t>§</w:t>
            </w:r>
            <w:r>
              <w:t xml:space="preserve">  </w:t>
            </w:r>
          </w:p>
          <w:p w14:paraId="084B1A9E" w14:textId="77777777" w:rsidR="006646B6" w:rsidRPr="00C71214" w:rsidRDefault="006646B6" w:rsidP="001C02AB">
            <w:pPr>
              <w:pStyle w:val="ListParagraph"/>
              <w:numPr>
                <w:ilvl w:val="0"/>
                <w:numId w:val="4"/>
              </w:numPr>
              <w:ind w:left="252" w:hanging="180"/>
              <w:cnfStyle w:val="000000000000" w:firstRow="0" w:lastRow="0" w:firstColumn="0" w:lastColumn="0" w:oddVBand="0" w:evenVBand="0" w:oddHBand="0" w:evenHBand="0" w:firstRowFirstColumn="0" w:firstRowLastColumn="0" w:lastRowFirstColumn="0" w:lastRowLastColumn="0"/>
            </w:pPr>
            <w:r>
              <w:t>6</w:t>
            </w:r>
            <w:r w:rsidRPr="0048501B">
              <w:rPr>
                <w:vertAlign w:val="superscript"/>
              </w:rPr>
              <w:t>th</w:t>
            </w:r>
            <w:r>
              <w:t xml:space="preserve"> line: TNF inhibitor </w:t>
            </w:r>
            <w:r w:rsidRPr="00720343">
              <w:rPr>
                <w:sz w:val="28"/>
                <w:vertAlign w:val="superscript"/>
              </w:rPr>
              <w:t>§</w:t>
            </w:r>
          </w:p>
        </w:tc>
        <w:tc>
          <w:tcPr>
            <w:tcW w:w="1221" w:type="dxa"/>
            <w:shd w:val="clear" w:color="auto" w:fill="FFFFFF" w:themeFill="background1"/>
            <w:vAlign w:val="center"/>
          </w:tcPr>
          <w:p w14:paraId="4448E216" w14:textId="77777777" w:rsidR="006646B6"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01148D">
              <w:rPr>
                <w:rFonts w:asciiTheme="minorHAnsi" w:hAnsiTheme="minorHAnsi"/>
                <w:b/>
                <w:color w:val="auto"/>
                <w:sz w:val="36"/>
                <w:szCs w:val="20"/>
              </w:rPr>
              <w:sym w:font="Wingdings" w:char="F0FC"/>
            </w:r>
          </w:p>
        </w:tc>
      </w:tr>
      <w:tr w:rsidR="001C02AB" w:rsidRPr="00124492" w14:paraId="7A3082C5" w14:textId="77777777" w:rsidTr="00321E7C">
        <w:trPr>
          <w:cantSplit/>
          <w:trHeight w:val="318"/>
        </w:trPr>
        <w:tc>
          <w:tcPr>
            <w:cnfStyle w:val="001000000000" w:firstRow="0" w:lastRow="0" w:firstColumn="1" w:lastColumn="0" w:oddVBand="0" w:evenVBand="0" w:oddHBand="0" w:evenHBand="0" w:firstRowFirstColumn="0" w:firstRowLastColumn="0" w:lastRowFirstColumn="0" w:lastRowLastColumn="0"/>
            <w:tcW w:w="12697" w:type="dxa"/>
            <w:gridSpan w:val="4"/>
            <w:shd w:val="clear" w:color="auto" w:fill="FFFFFF" w:themeFill="background1"/>
          </w:tcPr>
          <w:p w14:paraId="2CDE422F" w14:textId="77777777" w:rsidR="001C02AB" w:rsidRPr="00124492" w:rsidRDefault="001C02AB" w:rsidP="001C02AB">
            <w:pPr>
              <w:pStyle w:val="Heading2"/>
              <w:spacing w:before="0"/>
              <w:outlineLvl w:val="1"/>
              <w:rPr>
                <w:rFonts w:asciiTheme="minorHAnsi" w:hAnsiTheme="minorHAnsi"/>
                <w:b w:val="0"/>
                <w:color w:val="auto"/>
                <w:sz w:val="20"/>
                <w:szCs w:val="20"/>
              </w:rPr>
            </w:pPr>
            <w:r w:rsidRPr="00124492">
              <w:rPr>
                <w:rFonts w:asciiTheme="minorHAnsi" w:hAnsiTheme="minorHAnsi"/>
                <w:b w:val="0"/>
                <w:color w:val="auto"/>
                <w:sz w:val="20"/>
                <w:szCs w:val="20"/>
              </w:rPr>
              <w:t xml:space="preserve">Notes: </w:t>
            </w:r>
          </w:p>
          <w:p w14:paraId="659DD70B" w14:textId="77777777" w:rsidR="001C02AB" w:rsidRPr="00124492" w:rsidRDefault="001C02AB" w:rsidP="001C02AB">
            <w:pPr>
              <w:pStyle w:val="Heading2"/>
              <w:numPr>
                <w:ilvl w:val="0"/>
                <w:numId w:val="6"/>
              </w:numPr>
              <w:spacing w:before="0"/>
              <w:outlineLvl w:val="1"/>
              <w:rPr>
                <w:rFonts w:asciiTheme="minorHAnsi" w:hAnsiTheme="minorHAnsi"/>
                <w:b w:val="0"/>
                <w:color w:val="auto"/>
                <w:sz w:val="20"/>
                <w:szCs w:val="20"/>
              </w:rPr>
            </w:pPr>
            <w:r w:rsidRPr="00124492">
              <w:rPr>
                <w:rFonts w:asciiTheme="minorHAnsi" w:hAnsiTheme="minorHAnsi"/>
                <w:b w:val="0"/>
                <w:color w:val="auto"/>
                <w:sz w:val="20"/>
                <w:szCs w:val="20"/>
              </w:rPr>
              <w:t xml:space="preserve">Drug list does not indicate order of preference. Refer to CTCAE for grading system, which should not be confused with the PASI system.* </w:t>
            </w:r>
          </w:p>
          <w:p w14:paraId="734FB642" w14:textId="77777777" w:rsidR="001C02AB" w:rsidRPr="00915DD5" w:rsidRDefault="001C02AB" w:rsidP="001C02AB">
            <w:pPr>
              <w:pStyle w:val="Heading2"/>
              <w:numPr>
                <w:ilvl w:val="0"/>
                <w:numId w:val="6"/>
              </w:numPr>
              <w:spacing w:before="0"/>
              <w:outlineLvl w:val="1"/>
              <w:rPr>
                <w:rFonts w:asciiTheme="minorHAnsi" w:hAnsiTheme="minorHAnsi"/>
                <w:b w:val="0"/>
                <w:color w:val="auto"/>
                <w:sz w:val="20"/>
                <w:szCs w:val="20"/>
              </w:rPr>
            </w:pPr>
            <w:r w:rsidRPr="00915DD5">
              <w:rPr>
                <w:rFonts w:asciiTheme="minorHAnsi" w:hAnsiTheme="minorHAnsi"/>
                <w:b w:val="0"/>
                <w:color w:val="auto"/>
                <w:sz w:val="20"/>
                <w:szCs w:val="20"/>
              </w:rPr>
              <w:t>Apremilast and tazarotene may be associated with delays in coverage authorization. Apremilast can also trigger diarrhea that could complicate diagnosis or interpretation of immune-related colitis.</w:t>
            </w:r>
          </w:p>
          <w:p w14:paraId="540FE614" w14:textId="13066CB0" w:rsidR="001C02AB" w:rsidRPr="00915DD5" w:rsidRDefault="00847B86" w:rsidP="001C02AB">
            <w:pPr>
              <w:pStyle w:val="ListParagraph"/>
              <w:numPr>
                <w:ilvl w:val="0"/>
                <w:numId w:val="6"/>
              </w:numPr>
              <w:rPr>
                <w:b w:val="0"/>
              </w:rPr>
            </w:pPr>
            <w:r w:rsidRPr="006F7D7E">
              <w:rPr>
                <w:b w:val="0"/>
                <w:sz w:val="20"/>
                <w:szCs w:val="20"/>
              </w:rPr>
              <w:t>Retrospective cohort studies s</w:t>
            </w:r>
            <w:r>
              <w:rPr>
                <w:b w:val="0"/>
                <w:sz w:val="20"/>
                <w:szCs w:val="20"/>
              </w:rPr>
              <w:t>how that in RA patients treated with TNF inhibitors</w:t>
            </w:r>
            <w:r w:rsidRPr="006F7D7E">
              <w:rPr>
                <w:b w:val="0"/>
                <w:sz w:val="20"/>
                <w:szCs w:val="20"/>
              </w:rPr>
              <w:t xml:space="preserve"> there is no increase in solid cancers and no increased recurrence of breast cancer. </w:t>
            </w:r>
            <w:r w:rsidR="001C02AB">
              <w:rPr>
                <w:b w:val="0"/>
                <w:sz w:val="20"/>
              </w:rPr>
              <w:t xml:space="preserve">More data are needed to determine long term lack of harm across malignancies and inhibitors. </w:t>
            </w:r>
          </w:p>
          <w:p w14:paraId="00FA80E2" w14:textId="77777777" w:rsidR="001C02AB" w:rsidRPr="00673B31" w:rsidRDefault="001C02AB" w:rsidP="001C02AB">
            <w:pPr>
              <w:pStyle w:val="Heading2"/>
              <w:spacing w:before="0"/>
              <w:ind w:left="157" w:hanging="157"/>
              <w:outlineLvl w:val="1"/>
              <w:rPr>
                <w:rFonts w:asciiTheme="minorHAnsi" w:hAnsiTheme="minorHAnsi"/>
                <w:b w:val="0"/>
                <w:color w:val="auto"/>
                <w:sz w:val="20"/>
                <w:szCs w:val="20"/>
              </w:rPr>
            </w:pPr>
            <w:r>
              <w:rPr>
                <w:b w:val="0"/>
                <w:color w:val="auto"/>
              </w:rPr>
              <w:t>*</w:t>
            </w:r>
            <w:r w:rsidRPr="00673B31">
              <w:rPr>
                <w:rFonts w:asciiTheme="minorHAnsi" w:hAnsiTheme="minorHAnsi"/>
                <w:b w:val="0"/>
                <w:color w:val="auto"/>
                <w:sz w:val="20"/>
                <w:szCs w:val="20"/>
              </w:rPr>
              <w:t>Recommendations provided are based on case reports, series and expert consensus. Use of suggested therapies must be discussed with medical oncology based on individual patient considerations. The impact of these therapies on the anti-tumor immune response and efficacy of cancer treatment is unknown and requires further research</w:t>
            </w:r>
          </w:p>
          <w:p w14:paraId="252F1BFF" w14:textId="77777777" w:rsidR="001C02AB" w:rsidRPr="00720343" w:rsidRDefault="001C02AB" w:rsidP="001C02AB">
            <w:pPr>
              <w:pStyle w:val="Heading2"/>
              <w:spacing w:before="0"/>
              <w:ind w:left="247" w:hanging="247"/>
              <w:outlineLvl w:val="1"/>
              <w:rPr>
                <w:rFonts w:asciiTheme="minorHAnsi" w:hAnsiTheme="minorHAnsi"/>
                <w:b w:val="0"/>
                <w:color w:val="auto"/>
                <w:sz w:val="20"/>
                <w:szCs w:val="20"/>
              </w:rPr>
            </w:pPr>
            <w:r>
              <w:rPr>
                <w:rFonts w:asciiTheme="minorHAnsi" w:hAnsiTheme="minorHAnsi"/>
                <w:b w:val="0"/>
                <w:color w:val="auto"/>
                <w:sz w:val="20"/>
                <w:szCs w:val="20"/>
              </w:rPr>
              <w:t xml:space="preserve">§ </w:t>
            </w:r>
            <w:r w:rsidRPr="00720343">
              <w:rPr>
                <w:rFonts w:asciiTheme="minorHAnsi" w:hAnsiTheme="minorHAnsi"/>
                <w:b w:val="0"/>
                <w:color w:val="auto"/>
                <w:sz w:val="20"/>
                <w:szCs w:val="20"/>
              </w:rPr>
              <w:t xml:space="preserve">Risk/benefit must be reviewed </w:t>
            </w:r>
            <w:r>
              <w:rPr>
                <w:rFonts w:asciiTheme="minorHAnsi" w:hAnsiTheme="minorHAnsi"/>
                <w:b w:val="0"/>
                <w:color w:val="auto"/>
                <w:sz w:val="20"/>
                <w:szCs w:val="20"/>
              </w:rPr>
              <w:t xml:space="preserve">carefully </w:t>
            </w:r>
            <w:r w:rsidRPr="00720343">
              <w:rPr>
                <w:rFonts w:asciiTheme="minorHAnsi" w:hAnsiTheme="minorHAnsi"/>
                <w:b w:val="0"/>
                <w:color w:val="auto"/>
                <w:sz w:val="20"/>
                <w:szCs w:val="20"/>
              </w:rPr>
              <w:t>with medical oncology</w:t>
            </w:r>
          </w:p>
          <w:p w14:paraId="570F1F4C" w14:textId="1B51BA77" w:rsidR="001C02AB" w:rsidRPr="00124492" w:rsidRDefault="001C02AB" w:rsidP="001C02AB">
            <w:pPr>
              <w:pStyle w:val="Heading2"/>
              <w:spacing w:before="0"/>
              <w:outlineLvl w:val="1"/>
              <w:rPr>
                <w:rFonts w:asciiTheme="minorHAnsi" w:hAnsiTheme="minorHAnsi"/>
                <w:b w:val="0"/>
                <w:color w:val="auto"/>
                <w:sz w:val="20"/>
                <w:szCs w:val="20"/>
              </w:rPr>
            </w:pPr>
            <w:r>
              <w:rPr>
                <w:rFonts w:asciiTheme="minorHAnsi" w:hAnsiTheme="minorHAnsi"/>
                <w:b w:val="0"/>
                <w:color w:val="auto"/>
                <w:sz w:val="20"/>
                <w:szCs w:val="20"/>
              </w:rPr>
              <w:t>**</w:t>
            </w:r>
            <w:r w:rsidRPr="00847B86">
              <w:rPr>
                <w:rFonts w:asciiTheme="minorHAnsi" w:hAnsiTheme="minorHAnsi"/>
                <w:i/>
                <w:color w:val="auto"/>
                <w:sz w:val="20"/>
                <w:szCs w:val="20"/>
              </w:rPr>
              <w:t>IMPORTANT</w:t>
            </w:r>
            <w:r>
              <w:rPr>
                <w:rFonts w:asciiTheme="minorHAnsi" w:hAnsiTheme="minorHAnsi"/>
                <w:b w:val="0"/>
                <w:color w:val="auto"/>
                <w:sz w:val="20"/>
                <w:szCs w:val="20"/>
              </w:rPr>
              <w:t xml:space="preserve">: </w:t>
            </w:r>
            <w:r w:rsidRPr="00124492">
              <w:rPr>
                <w:rFonts w:asciiTheme="minorHAnsi" w:hAnsiTheme="minorHAnsi"/>
                <w:b w:val="0"/>
                <w:color w:val="auto"/>
                <w:sz w:val="20"/>
                <w:szCs w:val="20"/>
              </w:rPr>
              <w:t>Joint involvement warrants a rheumatology consult</w:t>
            </w:r>
            <w:r>
              <w:rPr>
                <w:rFonts w:asciiTheme="minorHAnsi" w:hAnsiTheme="minorHAnsi"/>
                <w:b w:val="0"/>
                <w:color w:val="auto"/>
                <w:sz w:val="20"/>
                <w:szCs w:val="20"/>
              </w:rPr>
              <w:t>**</w:t>
            </w:r>
          </w:p>
        </w:tc>
      </w:tr>
      <w:tr w:rsidR="006646B6" w14:paraId="46832C01" w14:textId="77777777" w:rsidTr="001C02AB">
        <w:trPr>
          <w:cantSplit/>
          <w:trHeight w:val="318"/>
        </w:trPr>
        <w:tc>
          <w:tcPr>
            <w:cnfStyle w:val="001000000000" w:firstRow="0" w:lastRow="0" w:firstColumn="1" w:lastColumn="0" w:oddVBand="0" w:evenVBand="0" w:oddHBand="0" w:evenHBand="0" w:firstRowFirstColumn="0" w:firstRowLastColumn="0" w:lastRowFirstColumn="0" w:lastRowLastColumn="0"/>
            <w:tcW w:w="11476" w:type="dxa"/>
            <w:gridSpan w:val="3"/>
            <w:shd w:val="clear" w:color="auto" w:fill="5B9BD5" w:themeFill="accent1"/>
          </w:tcPr>
          <w:p w14:paraId="3215A971" w14:textId="77777777" w:rsidR="006646B6" w:rsidRPr="005E2FA9" w:rsidRDefault="006646B6" w:rsidP="001C02AB">
            <w:pPr>
              <w:pStyle w:val="Heading2"/>
              <w:spacing w:before="0"/>
              <w:outlineLvl w:val="1"/>
              <w:rPr>
                <w:rFonts w:asciiTheme="minorHAnsi" w:hAnsiTheme="minorHAnsi"/>
                <w:color w:val="auto"/>
                <w:sz w:val="22"/>
                <w:szCs w:val="20"/>
              </w:rPr>
            </w:pPr>
            <w:r>
              <w:rPr>
                <w:rFonts w:asciiTheme="minorHAnsi" w:hAnsiTheme="minorHAnsi"/>
                <w:color w:val="auto"/>
                <w:sz w:val="22"/>
                <w:szCs w:val="20"/>
              </w:rPr>
              <w:t>Lichenoid dermatitis*</w:t>
            </w:r>
          </w:p>
        </w:tc>
        <w:tc>
          <w:tcPr>
            <w:tcW w:w="1221" w:type="dxa"/>
            <w:shd w:val="clear" w:color="auto" w:fill="5B9BD5" w:themeFill="accent1"/>
          </w:tcPr>
          <w:p w14:paraId="041220DB" w14:textId="77777777" w:rsidR="006646B6"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p>
        </w:tc>
      </w:tr>
      <w:tr w:rsidR="006646B6" w:rsidRPr="00720343" w14:paraId="363C28A3" w14:textId="77777777" w:rsidTr="001C02AB">
        <w:trPr>
          <w:cantSplit/>
          <w:trHeight w:val="413"/>
        </w:trPr>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313BEFEA" w14:textId="77777777" w:rsidR="006646B6" w:rsidRPr="00124492" w:rsidRDefault="006646B6" w:rsidP="001C02AB">
            <w:pPr>
              <w:pStyle w:val="ListParagraph"/>
              <w:ind w:left="67" w:hanging="67"/>
              <w:jc w:val="both"/>
              <w:rPr>
                <w:b w:val="0"/>
              </w:rPr>
            </w:pPr>
            <w:r w:rsidRPr="004B78BD">
              <w:rPr>
                <w:szCs w:val="20"/>
              </w:rPr>
              <w:t>Grade</w:t>
            </w:r>
          </w:p>
        </w:tc>
        <w:tc>
          <w:tcPr>
            <w:tcW w:w="2735" w:type="dxa"/>
            <w:shd w:val="clear" w:color="auto" w:fill="FFFFFF" w:themeFill="background1"/>
          </w:tcPr>
          <w:p w14:paraId="636FBDC5" w14:textId="77777777" w:rsidR="006646B6" w:rsidRPr="00124492" w:rsidRDefault="006646B6" w:rsidP="001C02AB">
            <w:pPr>
              <w:pStyle w:val="ListParagraph"/>
              <w:ind w:left="67" w:hanging="67"/>
              <w:cnfStyle w:val="000000000000" w:firstRow="0" w:lastRow="0" w:firstColumn="0" w:lastColumn="0" w:oddVBand="0" w:evenVBand="0" w:oddHBand="0" w:evenHBand="0" w:firstRowFirstColumn="0" w:firstRowLastColumn="0" w:lastRowFirstColumn="0" w:lastRowLastColumn="0"/>
              <w:rPr>
                <w:b/>
              </w:rPr>
            </w:pPr>
            <w:r w:rsidRPr="00720343">
              <w:rPr>
                <w:b/>
                <w:szCs w:val="20"/>
              </w:rPr>
              <w:t>Description</w:t>
            </w:r>
          </w:p>
        </w:tc>
        <w:tc>
          <w:tcPr>
            <w:tcW w:w="7756" w:type="dxa"/>
            <w:shd w:val="clear" w:color="auto" w:fill="FFFFFF" w:themeFill="background1"/>
          </w:tcPr>
          <w:p w14:paraId="50D01FA2" w14:textId="77777777" w:rsidR="006646B6" w:rsidRPr="00124492" w:rsidRDefault="006646B6" w:rsidP="001C02AB">
            <w:pPr>
              <w:pStyle w:val="ListParagraph"/>
              <w:ind w:left="-18"/>
              <w:jc w:val="both"/>
              <w:cnfStyle w:val="000000000000" w:firstRow="0" w:lastRow="0" w:firstColumn="0" w:lastColumn="0" w:oddVBand="0" w:evenVBand="0" w:oddHBand="0" w:evenHBand="0" w:firstRowFirstColumn="0" w:firstRowLastColumn="0" w:lastRowFirstColumn="0" w:lastRowLastColumn="0"/>
              <w:rPr>
                <w:bCs/>
              </w:rPr>
            </w:pPr>
            <w:r w:rsidRPr="00720343">
              <w:rPr>
                <w:b/>
                <w:szCs w:val="20"/>
              </w:rPr>
              <w:t>Management</w:t>
            </w:r>
          </w:p>
        </w:tc>
        <w:tc>
          <w:tcPr>
            <w:tcW w:w="1221" w:type="dxa"/>
            <w:shd w:val="clear" w:color="auto" w:fill="FFFFFF" w:themeFill="background1"/>
          </w:tcPr>
          <w:p w14:paraId="5B5A675C" w14:textId="77777777" w:rsidR="006646B6" w:rsidRPr="00720343" w:rsidRDefault="006646B6" w:rsidP="001C02AB">
            <w:pPr>
              <w:pStyle w:val="ListParagraph"/>
              <w:ind w:left="-18"/>
              <w:jc w:val="center"/>
              <w:cnfStyle w:val="000000000000" w:firstRow="0" w:lastRow="0" w:firstColumn="0" w:lastColumn="0" w:oddVBand="0" w:evenVBand="0" w:oddHBand="0" w:evenHBand="0" w:firstRowFirstColumn="0" w:firstRowLastColumn="0" w:lastRowFirstColumn="0" w:lastRowLastColumn="0"/>
              <w:rPr>
                <w:b/>
                <w:szCs w:val="20"/>
              </w:rPr>
            </w:pPr>
          </w:p>
        </w:tc>
      </w:tr>
      <w:tr w:rsidR="006646B6" w:rsidRPr="00645A3E" w14:paraId="12D5840A" w14:textId="77777777" w:rsidTr="001C02AB">
        <w:trPr>
          <w:cantSplit/>
          <w:trHeight w:val="1880"/>
        </w:trPr>
        <w:tc>
          <w:tcPr>
            <w:cnfStyle w:val="001000000000" w:firstRow="0" w:lastRow="0" w:firstColumn="1" w:lastColumn="0" w:oddVBand="0" w:evenVBand="0" w:oddHBand="0" w:evenHBand="0" w:firstRowFirstColumn="0" w:firstRowLastColumn="0" w:lastRowFirstColumn="0" w:lastRowLastColumn="0"/>
            <w:tcW w:w="3720" w:type="dxa"/>
            <w:gridSpan w:val="2"/>
            <w:shd w:val="clear" w:color="auto" w:fill="FFFFFF" w:themeFill="background1"/>
            <w:vAlign w:val="center"/>
          </w:tcPr>
          <w:p w14:paraId="3CEFC47D" w14:textId="77777777" w:rsidR="006646B6" w:rsidRPr="00DD7A45" w:rsidRDefault="006646B6" w:rsidP="001C02AB">
            <w:pPr>
              <w:pStyle w:val="Heading2"/>
              <w:spacing w:before="0"/>
              <w:outlineLvl w:val="1"/>
            </w:pPr>
            <w:r w:rsidRPr="006C5CEE">
              <w:rPr>
                <w:rFonts w:asciiTheme="minorHAnsi" w:hAnsiTheme="minorHAnsi"/>
                <w:b w:val="0"/>
                <w:color w:val="auto"/>
                <w:sz w:val="20"/>
                <w:szCs w:val="20"/>
              </w:rPr>
              <w:t>Not defined in CTCAE</w:t>
            </w:r>
            <w:r>
              <w:rPr>
                <w:rFonts w:asciiTheme="minorHAnsi" w:hAnsiTheme="minorHAnsi"/>
                <w:b w:val="0"/>
                <w:color w:val="auto"/>
                <w:sz w:val="20"/>
                <w:szCs w:val="20"/>
              </w:rPr>
              <w:t xml:space="preserve"> but c</w:t>
            </w:r>
            <w:r w:rsidRPr="006F7D7E">
              <w:rPr>
                <w:rFonts w:asciiTheme="minorHAnsi" w:hAnsiTheme="minorHAnsi"/>
                <w:b w:val="0"/>
                <w:color w:val="auto"/>
                <w:sz w:val="20"/>
                <w:szCs w:val="20"/>
              </w:rPr>
              <w:t>haracterized by discrete, flat-topped pink or violaceous papules that may have some scale. Mucosa may be involved with erosions, ulcerations or Wickham’s striae</w:t>
            </w:r>
            <w:r>
              <w:rPr>
                <w:rFonts w:asciiTheme="minorHAnsi" w:hAnsiTheme="minorHAnsi"/>
                <w:b w:val="0"/>
                <w:color w:val="auto"/>
                <w:sz w:val="20"/>
                <w:szCs w:val="20"/>
              </w:rPr>
              <w:t>.</w:t>
            </w:r>
          </w:p>
        </w:tc>
        <w:tc>
          <w:tcPr>
            <w:tcW w:w="7756" w:type="dxa"/>
            <w:shd w:val="clear" w:color="auto" w:fill="FFFFFF" w:themeFill="background1"/>
          </w:tcPr>
          <w:p w14:paraId="5551CFFE" w14:textId="77777777" w:rsidR="006646B6" w:rsidRDefault="006646B6" w:rsidP="001C02AB">
            <w:pPr>
              <w:pStyle w:val="Heading2"/>
              <w:numPr>
                <w:ilvl w:val="0"/>
                <w:numId w:val="5"/>
              </w:numPr>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645A3E">
              <w:rPr>
                <w:rFonts w:asciiTheme="minorHAnsi" w:hAnsiTheme="minorHAnsi"/>
                <w:color w:val="auto"/>
                <w:sz w:val="22"/>
                <w:szCs w:val="20"/>
              </w:rPr>
              <w:t>Non-acute dermatology referral</w:t>
            </w:r>
            <w:r w:rsidRPr="005E2FA9">
              <w:rPr>
                <w:rFonts w:asciiTheme="minorHAnsi" w:hAnsiTheme="minorHAnsi"/>
                <w:color w:val="auto"/>
                <w:sz w:val="22"/>
                <w:szCs w:val="20"/>
              </w:rPr>
              <w:t xml:space="preserve"> </w:t>
            </w:r>
          </w:p>
          <w:p w14:paraId="3EA52248" w14:textId="78D225BF" w:rsidR="006646B6"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rPr>
            </w:pPr>
            <w:r w:rsidRPr="00124492">
              <w:rPr>
                <w:bCs/>
              </w:rPr>
              <w:t xml:space="preserve">1st Line: Topical </w:t>
            </w:r>
            <w:r w:rsidR="00ED1B0A">
              <w:rPr>
                <w:bCs/>
              </w:rPr>
              <w:t>cortico</w:t>
            </w:r>
            <w:r w:rsidRPr="00124492">
              <w:rPr>
                <w:bCs/>
              </w:rPr>
              <w:t>steroids</w:t>
            </w:r>
          </w:p>
          <w:p w14:paraId="60210A48" w14:textId="498A519F" w:rsidR="006646B6" w:rsidRDefault="006646B6" w:rsidP="001C02AB">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t xml:space="preserve">Class I topical </w:t>
            </w:r>
            <w:r w:rsidR="00ED1B0A">
              <w:t>cortico</w:t>
            </w:r>
            <w:r>
              <w:t xml:space="preserve">steroid (clobetasol, halobetasol, betamethasone dipropionate) for body; </w:t>
            </w:r>
            <w:r w:rsidR="00ED1B0A">
              <w:t>c</w:t>
            </w:r>
            <w:r>
              <w:t xml:space="preserve">lass V/VI </w:t>
            </w:r>
            <w:r w:rsidR="00ED1B0A">
              <w:t>cortico</w:t>
            </w:r>
            <w:r>
              <w:t xml:space="preserve">steroid (aclometasone 0.05%, desonide 0.05%, hydrocortisone 2.5% cream) for face.  </w:t>
            </w:r>
          </w:p>
          <w:p w14:paraId="4C9E1328" w14:textId="1A65046D" w:rsidR="006646B6" w:rsidRPr="00B115B2" w:rsidRDefault="006646B6" w:rsidP="00ED1B0A">
            <w:pPr>
              <w:pStyle w:val="ListParagraph"/>
              <w:numPr>
                <w:ilvl w:val="1"/>
                <w:numId w:val="5"/>
              </w:numPr>
              <w:cnfStyle w:val="000000000000" w:firstRow="0" w:lastRow="0" w:firstColumn="0" w:lastColumn="0" w:oddVBand="0" w:evenVBand="0" w:oddHBand="0" w:evenHBand="0" w:firstRowFirstColumn="0" w:firstRowLastColumn="0" w:lastRowFirstColumn="0" w:lastRowLastColumn="0"/>
              <w:rPr>
                <w:szCs w:val="20"/>
              </w:rPr>
            </w:pPr>
            <w:r w:rsidRPr="00B115B2">
              <w:rPr>
                <w:bCs/>
              </w:rPr>
              <w:t>Dexamethasone swish and spit for oral involvement (</w:t>
            </w:r>
            <w:r w:rsidR="00ED1B0A" w:rsidRPr="00B115B2">
              <w:rPr>
                <w:bCs/>
              </w:rPr>
              <w:t>r</w:t>
            </w:r>
            <w:r w:rsidRPr="00B115B2">
              <w:rPr>
                <w:bCs/>
              </w:rPr>
              <w:t>eferral to oral medicine for severe involvement)</w:t>
            </w:r>
            <w:r w:rsidR="00B115B2">
              <w:rPr>
                <w:bCs/>
              </w:rPr>
              <w:t xml:space="preserve"> </w:t>
            </w:r>
            <w:r w:rsidRPr="00B115B2">
              <w:rPr>
                <w:szCs w:val="20"/>
              </w:rPr>
              <w:t>AND oral antihistamines (hydroxyzine 25mg QID or equivalent)</w:t>
            </w:r>
          </w:p>
          <w:p w14:paraId="6751CAE8" w14:textId="77777777" w:rsidR="006646B6"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Cs w:val="20"/>
              </w:rPr>
            </w:pPr>
            <w:r w:rsidRPr="00124492">
              <w:rPr>
                <w:bCs/>
              </w:rPr>
              <w:t>2</w:t>
            </w:r>
            <w:r>
              <w:rPr>
                <w:bCs/>
              </w:rPr>
              <w:t>nd</w:t>
            </w:r>
            <w:r w:rsidRPr="00124492">
              <w:rPr>
                <w:bCs/>
              </w:rPr>
              <w:t xml:space="preserve"> Line</w:t>
            </w:r>
            <w:r w:rsidRPr="006F7D7E">
              <w:rPr>
                <w:bCs/>
              </w:rPr>
              <w:t>: Phototherapy using narrow-band UVB per standard protocol</w:t>
            </w:r>
          </w:p>
          <w:p w14:paraId="47E21D44" w14:textId="68528EE7" w:rsidR="006646B6" w:rsidRDefault="00B115B2"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Pr>
                <w:bCs/>
              </w:rPr>
              <w:t xml:space="preserve">3rd Line: Acitretin </w:t>
            </w:r>
            <w:r w:rsidR="006646B6">
              <w:t>10mg daily and titrat</w:t>
            </w:r>
            <w:r>
              <w:t>e</w:t>
            </w:r>
            <w:r w:rsidR="006646B6">
              <w:t xml:space="preserve"> up to 25mg daily af</w:t>
            </w:r>
            <w:r>
              <w:t>ter 8 weeks if not sufficient</w:t>
            </w:r>
          </w:p>
          <w:p w14:paraId="4889A4A0" w14:textId="77777777" w:rsidR="006646B6" w:rsidRPr="00124492"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124492">
              <w:rPr>
                <w:bCs/>
              </w:rPr>
              <w:lastRenderedPageBreak/>
              <w:t>4th Line: Metronidazole</w:t>
            </w:r>
            <w:r>
              <w:rPr>
                <w:bCs/>
              </w:rPr>
              <w:t xml:space="preserve"> 500mg BID </w:t>
            </w:r>
            <w:r w:rsidRPr="001C02AB">
              <w:rPr>
                <w:bCs/>
              </w:rPr>
              <w:t>for 3 month trial; hydroxychloroquine 200 or 400 mg daily (&lt;6.5 mg/kg/day)</w:t>
            </w:r>
            <w:r w:rsidRPr="001C02AB">
              <w:rPr>
                <w:bCs/>
              </w:rPr>
              <w:tab/>
            </w:r>
            <w:r w:rsidRPr="00124492">
              <w:t xml:space="preserve">    </w:t>
            </w:r>
          </w:p>
          <w:p w14:paraId="637D6FAE" w14:textId="77777777" w:rsidR="006646B6" w:rsidRPr="00124492" w:rsidRDefault="006646B6" w:rsidP="001C02A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124492">
              <w:t>5th Line: Methotrexate</w:t>
            </w:r>
            <w:r w:rsidRPr="00720343">
              <w:rPr>
                <w:sz w:val="28"/>
                <w:vertAlign w:val="superscript"/>
              </w:rPr>
              <w:t>§</w:t>
            </w:r>
          </w:p>
          <w:p w14:paraId="2629BEE7" w14:textId="77777777" w:rsidR="00ED1B0A" w:rsidRPr="00ED1B0A" w:rsidRDefault="006646B6" w:rsidP="00ED1B0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124492">
              <w:rPr>
                <w:bCs/>
              </w:rPr>
              <w:t xml:space="preserve">6th Line: </w:t>
            </w:r>
            <w:r>
              <w:rPr>
                <w:bCs/>
              </w:rPr>
              <w:t xml:space="preserve">Systemic </w:t>
            </w:r>
            <w:r w:rsidR="00ED1B0A">
              <w:rPr>
                <w:bCs/>
              </w:rPr>
              <w:t>cortico</w:t>
            </w:r>
            <w:r>
              <w:rPr>
                <w:bCs/>
              </w:rPr>
              <w:t>steroids for extensive disease, or severe mucosal involvement</w:t>
            </w:r>
            <w:r w:rsidRPr="00720343">
              <w:rPr>
                <w:sz w:val="28"/>
                <w:vertAlign w:val="superscript"/>
              </w:rPr>
              <w:t>§</w:t>
            </w:r>
          </w:p>
          <w:p w14:paraId="5E325315" w14:textId="42EC602A" w:rsidR="006646B6" w:rsidRPr="009427A1" w:rsidRDefault="00ED1B0A" w:rsidP="00B115B2">
            <w:pPr>
              <w:pStyle w:val="ListParagraph"/>
              <w:numPr>
                <w:ilvl w:val="1"/>
                <w:numId w:val="5"/>
              </w:numPr>
              <w:cnfStyle w:val="000000000000" w:firstRow="0" w:lastRow="0" w:firstColumn="0" w:lastColumn="0" w:oddVBand="0" w:evenVBand="0" w:oddHBand="0" w:evenHBand="0" w:firstRowFirstColumn="0" w:firstRowLastColumn="0" w:lastRowFirstColumn="0" w:lastRowLastColumn="0"/>
            </w:pPr>
            <w:r>
              <w:rPr>
                <w:bCs/>
              </w:rPr>
              <w:t>P</w:t>
            </w:r>
            <w:r w:rsidR="006646B6" w:rsidRPr="00ED1B0A">
              <w:rPr>
                <w:szCs w:val="20"/>
              </w:rPr>
              <w:t>rednisone 0.5 – 1mg/kg/day</w:t>
            </w:r>
            <w:r w:rsidR="00B115B2">
              <w:rPr>
                <w:szCs w:val="20"/>
              </w:rPr>
              <w:t xml:space="preserve"> </w:t>
            </w:r>
            <w:r w:rsidR="00B115B2">
              <w:rPr>
                <w:szCs w:val="20"/>
              </w:rPr>
              <w:t>(or equivalent dose of methylprednisolone)</w:t>
            </w:r>
            <w:r w:rsidR="006646B6" w:rsidRPr="00ED1B0A">
              <w:rPr>
                <w:szCs w:val="20"/>
              </w:rPr>
              <w:t xml:space="preserve"> tapered over 2-4 </w:t>
            </w:r>
            <w:r w:rsidR="00847B86" w:rsidRPr="00ED1B0A">
              <w:rPr>
                <w:szCs w:val="20"/>
              </w:rPr>
              <w:t>weeks while instituting steroid-</w:t>
            </w:r>
            <w:r w:rsidR="00B115B2">
              <w:rPr>
                <w:szCs w:val="20"/>
              </w:rPr>
              <w:t>sparing agent</w:t>
            </w:r>
            <w:bookmarkStart w:id="1" w:name="_GoBack"/>
            <w:bookmarkEnd w:id="1"/>
            <w:r w:rsidR="006646B6" w:rsidRPr="00ED1B0A">
              <w:rPr>
                <w:szCs w:val="20"/>
              </w:rPr>
              <w:t xml:space="preserve"> </w:t>
            </w:r>
          </w:p>
        </w:tc>
        <w:tc>
          <w:tcPr>
            <w:tcW w:w="1221" w:type="dxa"/>
            <w:shd w:val="clear" w:color="auto" w:fill="FFFFFF" w:themeFill="background1"/>
            <w:vAlign w:val="center"/>
          </w:tcPr>
          <w:p w14:paraId="4BAA238C" w14:textId="77777777" w:rsidR="006646B6" w:rsidRDefault="006646B6" w:rsidP="001C02AB">
            <w:pPr>
              <w:pStyle w:val="Heading2"/>
              <w:spacing w:before="0"/>
              <w:ind w:left="25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36"/>
                <w:szCs w:val="20"/>
              </w:rPr>
            </w:pPr>
          </w:p>
          <w:p w14:paraId="5922804F" w14:textId="77777777" w:rsidR="006646B6" w:rsidRDefault="006646B6" w:rsidP="001C02AB">
            <w:pPr>
              <w:pStyle w:val="Heading2"/>
              <w:spacing w:before="0"/>
              <w:ind w:left="25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36"/>
                <w:szCs w:val="20"/>
              </w:rPr>
            </w:pPr>
          </w:p>
          <w:p w14:paraId="1BA1375C" w14:textId="77777777" w:rsidR="006646B6" w:rsidRPr="00645A3E" w:rsidRDefault="006646B6" w:rsidP="001C02AB">
            <w:pPr>
              <w:pStyle w:val="Heading2"/>
              <w:spacing w:before="0"/>
              <w:ind w:left="252"/>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0"/>
              </w:rPr>
            </w:pPr>
            <w:r w:rsidRPr="0001148D">
              <w:rPr>
                <w:rFonts w:asciiTheme="minorHAnsi" w:hAnsiTheme="minorHAnsi"/>
                <w:b/>
                <w:color w:val="auto"/>
                <w:sz w:val="36"/>
                <w:szCs w:val="20"/>
              </w:rPr>
              <w:sym w:font="Wingdings" w:char="F0FC"/>
            </w:r>
          </w:p>
        </w:tc>
      </w:tr>
      <w:tr w:rsidR="006646B6" w:rsidRPr="002B18C5" w14:paraId="4618F385" w14:textId="77777777" w:rsidTr="001C02AB">
        <w:trPr>
          <w:cantSplit/>
          <w:trHeight w:val="318"/>
        </w:trPr>
        <w:tc>
          <w:tcPr>
            <w:cnfStyle w:val="001000000000" w:firstRow="0" w:lastRow="0" w:firstColumn="1" w:lastColumn="0" w:oddVBand="0" w:evenVBand="0" w:oddHBand="0" w:evenHBand="0" w:firstRowFirstColumn="0" w:firstRowLastColumn="0" w:lastRowFirstColumn="0" w:lastRowLastColumn="0"/>
            <w:tcW w:w="11476" w:type="dxa"/>
            <w:gridSpan w:val="3"/>
            <w:shd w:val="clear" w:color="auto" w:fill="FFFFFF" w:themeFill="background1"/>
          </w:tcPr>
          <w:p w14:paraId="24372F47" w14:textId="6981D6EC" w:rsidR="006646B6" w:rsidRPr="006F7D7E" w:rsidRDefault="006646B6" w:rsidP="001C02AB">
            <w:pPr>
              <w:pStyle w:val="Heading2"/>
              <w:spacing w:before="0"/>
              <w:outlineLvl w:val="1"/>
              <w:rPr>
                <w:rFonts w:asciiTheme="minorHAnsi" w:hAnsiTheme="minorHAnsi"/>
                <w:b w:val="0"/>
                <w:color w:val="auto"/>
                <w:sz w:val="20"/>
                <w:szCs w:val="20"/>
              </w:rPr>
            </w:pPr>
            <w:r w:rsidRPr="002B18C5">
              <w:rPr>
                <w:rFonts w:asciiTheme="minorHAnsi" w:hAnsiTheme="minorHAnsi"/>
                <w:b w:val="0"/>
                <w:color w:val="auto"/>
                <w:sz w:val="20"/>
                <w:szCs w:val="20"/>
              </w:rPr>
              <w:t xml:space="preserve">Notes: </w:t>
            </w:r>
            <w:r w:rsidRPr="006F7D7E">
              <w:rPr>
                <w:rFonts w:asciiTheme="minorHAnsi" w:hAnsiTheme="minorHAnsi"/>
                <w:b w:val="0"/>
                <w:color w:val="auto"/>
                <w:sz w:val="20"/>
                <w:szCs w:val="20"/>
              </w:rPr>
              <w:t>Retrospective cohort studies s</w:t>
            </w:r>
            <w:r w:rsidR="001C02AB">
              <w:rPr>
                <w:rFonts w:asciiTheme="minorHAnsi" w:hAnsiTheme="minorHAnsi"/>
                <w:b w:val="0"/>
                <w:color w:val="auto"/>
                <w:sz w:val="20"/>
                <w:szCs w:val="20"/>
              </w:rPr>
              <w:t>how that in RA patient</w:t>
            </w:r>
            <w:r w:rsidR="00847B86">
              <w:rPr>
                <w:rFonts w:asciiTheme="minorHAnsi" w:hAnsiTheme="minorHAnsi"/>
                <w:b w:val="0"/>
                <w:color w:val="auto"/>
                <w:sz w:val="20"/>
                <w:szCs w:val="20"/>
              </w:rPr>
              <w:t>s treated</w:t>
            </w:r>
            <w:r w:rsidR="001C02AB">
              <w:rPr>
                <w:rFonts w:asciiTheme="minorHAnsi" w:hAnsiTheme="minorHAnsi"/>
                <w:b w:val="0"/>
                <w:color w:val="auto"/>
                <w:sz w:val="20"/>
                <w:szCs w:val="20"/>
              </w:rPr>
              <w:t xml:space="preserve"> with TNF inhibitor</w:t>
            </w:r>
            <w:r w:rsidR="00847B86">
              <w:rPr>
                <w:rFonts w:asciiTheme="minorHAnsi" w:hAnsiTheme="minorHAnsi"/>
                <w:b w:val="0"/>
                <w:color w:val="auto"/>
                <w:sz w:val="20"/>
                <w:szCs w:val="20"/>
              </w:rPr>
              <w:t>s</w:t>
            </w:r>
            <w:r w:rsidRPr="006F7D7E">
              <w:rPr>
                <w:rFonts w:asciiTheme="minorHAnsi" w:hAnsiTheme="minorHAnsi"/>
                <w:b w:val="0"/>
                <w:color w:val="auto"/>
                <w:sz w:val="20"/>
                <w:szCs w:val="20"/>
              </w:rPr>
              <w:t xml:space="preserve"> there is no increase in solid cancers and no increased recurrence of breast cancer. More data are needed to determine long term lack of harm across malignancies and inhibitors</w:t>
            </w:r>
            <w:r w:rsidR="00847B86">
              <w:rPr>
                <w:rFonts w:asciiTheme="minorHAnsi" w:hAnsiTheme="minorHAnsi"/>
                <w:b w:val="0"/>
                <w:color w:val="auto"/>
                <w:sz w:val="20"/>
                <w:szCs w:val="20"/>
              </w:rPr>
              <w:t>.</w:t>
            </w:r>
          </w:p>
          <w:p w14:paraId="741D80BF" w14:textId="77777777" w:rsidR="006646B6" w:rsidRPr="00673B31" w:rsidRDefault="006646B6" w:rsidP="001C02AB">
            <w:pPr>
              <w:pStyle w:val="Heading2"/>
              <w:spacing w:before="0"/>
              <w:jc w:val="both"/>
              <w:outlineLvl w:val="1"/>
              <w:rPr>
                <w:rFonts w:asciiTheme="minorHAnsi" w:hAnsiTheme="minorHAnsi"/>
                <w:b w:val="0"/>
                <w:color w:val="auto"/>
                <w:sz w:val="20"/>
                <w:szCs w:val="20"/>
              </w:rPr>
            </w:pPr>
            <w:r>
              <w:rPr>
                <w:b w:val="0"/>
                <w:color w:val="auto"/>
              </w:rPr>
              <w:t>*</w:t>
            </w:r>
            <w:r w:rsidRPr="00673B31">
              <w:rPr>
                <w:rFonts w:asciiTheme="minorHAnsi" w:hAnsiTheme="minorHAnsi"/>
                <w:b w:val="0"/>
                <w:color w:val="auto"/>
                <w:sz w:val="20"/>
                <w:szCs w:val="20"/>
              </w:rPr>
              <w:t>Recommendations provided are based on case reports, series and expert consensus. Use of suggested therapies must be discussed with medical oncology based on individual patient considerations. The impact of these therapies on the anti-tumor immune response and efficacy of cancer treatment is unknown and requires further research</w:t>
            </w:r>
            <w:r>
              <w:rPr>
                <w:rFonts w:asciiTheme="minorHAnsi" w:hAnsiTheme="minorHAnsi"/>
                <w:b w:val="0"/>
                <w:color w:val="auto"/>
                <w:sz w:val="20"/>
                <w:szCs w:val="20"/>
              </w:rPr>
              <w:t>.</w:t>
            </w:r>
          </w:p>
          <w:p w14:paraId="2AE103F1" w14:textId="77777777" w:rsidR="006646B6" w:rsidRPr="00720343" w:rsidRDefault="006646B6" w:rsidP="001C02AB">
            <w:pPr>
              <w:pStyle w:val="Heading2"/>
              <w:spacing w:before="0"/>
              <w:outlineLvl w:val="1"/>
            </w:pPr>
            <w:r>
              <w:rPr>
                <w:rFonts w:asciiTheme="minorHAnsi" w:hAnsiTheme="minorHAnsi"/>
                <w:b w:val="0"/>
                <w:color w:val="auto"/>
                <w:sz w:val="20"/>
                <w:szCs w:val="20"/>
              </w:rPr>
              <w:t xml:space="preserve">§ </w:t>
            </w:r>
            <w:r w:rsidRPr="00720343">
              <w:rPr>
                <w:rFonts w:asciiTheme="minorHAnsi" w:hAnsiTheme="minorHAnsi"/>
                <w:b w:val="0"/>
                <w:color w:val="auto"/>
                <w:sz w:val="20"/>
                <w:szCs w:val="20"/>
              </w:rPr>
              <w:t xml:space="preserve">Risk/benefit must be reviewed </w:t>
            </w:r>
            <w:r>
              <w:rPr>
                <w:rFonts w:asciiTheme="minorHAnsi" w:hAnsiTheme="minorHAnsi"/>
                <w:b w:val="0"/>
                <w:color w:val="auto"/>
                <w:sz w:val="20"/>
                <w:szCs w:val="20"/>
              </w:rPr>
              <w:t xml:space="preserve">carefully </w:t>
            </w:r>
            <w:r w:rsidRPr="00720343">
              <w:rPr>
                <w:rFonts w:asciiTheme="minorHAnsi" w:hAnsiTheme="minorHAnsi"/>
                <w:b w:val="0"/>
                <w:color w:val="auto"/>
                <w:sz w:val="20"/>
                <w:szCs w:val="20"/>
              </w:rPr>
              <w:t>with medical oncology</w:t>
            </w:r>
            <w:r>
              <w:rPr>
                <w:rFonts w:asciiTheme="minorHAnsi" w:hAnsiTheme="minorHAnsi"/>
                <w:b w:val="0"/>
                <w:color w:val="auto"/>
                <w:sz w:val="20"/>
                <w:szCs w:val="20"/>
              </w:rPr>
              <w:t>.</w:t>
            </w:r>
          </w:p>
        </w:tc>
        <w:tc>
          <w:tcPr>
            <w:tcW w:w="1221" w:type="dxa"/>
            <w:shd w:val="clear" w:color="auto" w:fill="FFFFFF" w:themeFill="background1"/>
          </w:tcPr>
          <w:p w14:paraId="15610567" w14:textId="77777777" w:rsidR="006646B6" w:rsidRPr="002B18C5" w:rsidRDefault="006646B6" w:rsidP="001C02AB">
            <w:pPr>
              <w:pStyle w:val="Heading2"/>
              <w:spacing w:before="0"/>
              <w:jc w:val="cente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0"/>
                <w:szCs w:val="20"/>
              </w:rPr>
            </w:pPr>
          </w:p>
        </w:tc>
      </w:tr>
    </w:tbl>
    <w:p w14:paraId="1D51E275" w14:textId="77777777" w:rsidR="00F25C41" w:rsidRDefault="00F25C41" w:rsidP="00F25C41">
      <w:pPr>
        <w:spacing w:after="0" w:line="240" w:lineRule="auto"/>
        <w:ind w:left="45"/>
        <w:rPr>
          <w:i/>
        </w:rPr>
      </w:pPr>
    </w:p>
    <w:p w14:paraId="69696543" w14:textId="56FA79C0" w:rsidR="00F25C41" w:rsidRPr="001C02AB" w:rsidRDefault="001C02AB" w:rsidP="00F25C41">
      <w:pPr>
        <w:spacing w:after="0" w:line="240" w:lineRule="auto"/>
        <w:ind w:left="45"/>
      </w:pPr>
      <w:r>
        <w:rPr>
          <w:sz w:val="20"/>
        </w:rPr>
        <w:t xml:space="preserve">ADL, activities of daily living; BID, twice daily; </w:t>
      </w:r>
      <w:r w:rsidRPr="001C02AB">
        <w:rPr>
          <w:sz w:val="20"/>
        </w:rPr>
        <w:t>BSA</w:t>
      </w:r>
      <w:r>
        <w:rPr>
          <w:sz w:val="20"/>
        </w:rPr>
        <w:t>,</w:t>
      </w:r>
      <w:r w:rsidRPr="001C02AB">
        <w:rPr>
          <w:sz w:val="20"/>
        </w:rPr>
        <w:t xml:space="preserve"> body surface area; </w:t>
      </w:r>
      <w:r>
        <w:rPr>
          <w:sz w:val="20"/>
        </w:rPr>
        <w:t xml:space="preserve">CBC, complete blood count; CTCAE, </w:t>
      </w:r>
      <w:r w:rsidR="0011006F" w:rsidRPr="0011006F">
        <w:rPr>
          <w:sz w:val="20"/>
        </w:rPr>
        <w:t>Common Terminol</w:t>
      </w:r>
      <w:r w:rsidR="0011006F">
        <w:rPr>
          <w:sz w:val="20"/>
        </w:rPr>
        <w:t xml:space="preserve">ogy Criteria for Adverse Events; </w:t>
      </w:r>
      <w:r w:rsidR="00A368EA">
        <w:rPr>
          <w:sz w:val="20"/>
        </w:rPr>
        <w:t xml:space="preserve">HSF, Herpes simplex virus; </w:t>
      </w:r>
      <w:r w:rsidR="004D4450">
        <w:rPr>
          <w:sz w:val="20"/>
        </w:rPr>
        <w:t xml:space="preserve">ICU, intensive care unit; </w:t>
      </w:r>
      <w:r>
        <w:rPr>
          <w:sz w:val="20"/>
        </w:rPr>
        <w:t xml:space="preserve">IF, immunofluorescence; </w:t>
      </w:r>
      <w:r w:rsidR="00A368EA">
        <w:rPr>
          <w:sz w:val="20"/>
        </w:rPr>
        <w:t xml:space="preserve">IgE, immunoglobin E; </w:t>
      </w:r>
      <w:r w:rsidR="0011006F">
        <w:rPr>
          <w:sz w:val="20"/>
        </w:rPr>
        <w:t xml:space="preserve">PASI, psoriasis area severity index; </w:t>
      </w:r>
      <w:r w:rsidRPr="001C02AB">
        <w:rPr>
          <w:sz w:val="20"/>
        </w:rPr>
        <w:t>SJS/TEN</w:t>
      </w:r>
      <w:r>
        <w:rPr>
          <w:sz w:val="20"/>
        </w:rPr>
        <w:t xml:space="preserve"> Stevens Johnson syndrome/toxic epidermal necrolysis; QID, four times daily; RA, rheumatoid arthrit</w:t>
      </w:r>
      <w:r w:rsidR="004D4450">
        <w:rPr>
          <w:sz w:val="20"/>
        </w:rPr>
        <w:t>is; TNF, tumor necrosis factor; UVB, short wave ultraviolet B; VZV, varicella zoster virus</w:t>
      </w:r>
    </w:p>
    <w:p w14:paraId="0B5EB57A" w14:textId="77777777" w:rsidR="00F25C41" w:rsidRDefault="00F25C41" w:rsidP="00F25C41">
      <w:pPr>
        <w:spacing w:after="0" w:line="240" w:lineRule="auto"/>
        <w:ind w:left="45"/>
        <w:rPr>
          <w:i/>
        </w:rPr>
      </w:pPr>
    </w:p>
    <w:p w14:paraId="4B64BFA5" w14:textId="77777777" w:rsidR="00F25C41" w:rsidRDefault="00F25C41" w:rsidP="00F25C41">
      <w:pPr>
        <w:spacing w:after="0" w:line="240" w:lineRule="auto"/>
        <w:ind w:left="45"/>
        <w:rPr>
          <w:i/>
        </w:rPr>
      </w:pPr>
    </w:p>
    <w:p w14:paraId="7318EADD" w14:textId="77777777" w:rsidR="00F25C41" w:rsidRDefault="00F25C41" w:rsidP="00F25C41">
      <w:pPr>
        <w:spacing w:after="0" w:line="240" w:lineRule="auto"/>
        <w:ind w:left="45"/>
        <w:rPr>
          <w:i/>
        </w:rPr>
      </w:pPr>
    </w:p>
    <w:p w14:paraId="1DF71CE5" w14:textId="77777777" w:rsidR="00F25C41" w:rsidRDefault="00F25C41" w:rsidP="00F25C41">
      <w:pPr>
        <w:spacing w:after="0" w:line="240" w:lineRule="auto"/>
        <w:ind w:left="45"/>
        <w:rPr>
          <w:i/>
        </w:rPr>
      </w:pPr>
    </w:p>
    <w:p w14:paraId="2C1C335E" w14:textId="77777777" w:rsidR="00F25C41" w:rsidRDefault="00F25C41" w:rsidP="00F25C41">
      <w:pPr>
        <w:spacing w:after="0" w:line="240" w:lineRule="auto"/>
        <w:ind w:left="45"/>
        <w:rPr>
          <w:i/>
        </w:rPr>
      </w:pPr>
    </w:p>
    <w:p w14:paraId="50EB5D23" w14:textId="77777777" w:rsidR="00F25C41" w:rsidRDefault="00F25C41" w:rsidP="00F25C41">
      <w:pPr>
        <w:spacing w:after="0" w:line="240" w:lineRule="auto"/>
        <w:ind w:left="45"/>
        <w:rPr>
          <w:i/>
        </w:rPr>
      </w:pPr>
    </w:p>
    <w:p w14:paraId="7060E632" w14:textId="77777777" w:rsidR="00F25C41" w:rsidRDefault="00F25C41" w:rsidP="00F25C41">
      <w:pPr>
        <w:spacing w:after="0" w:line="240" w:lineRule="auto"/>
        <w:ind w:left="45"/>
        <w:rPr>
          <w:i/>
        </w:rPr>
      </w:pPr>
    </w:p>
    <w:p w14:paraId="506C0E3D" w14:textId="77777777" w:rsidR="00F25C41" w:rsidRDefault="00F25C41" w:rsidP="00F25C41">
      <w:pPr>
        <w:spacing w:after="0" w:line="240" w:lineRule="auto"/>
        <w:ind w:left="45"/>
        <w:rPr>
          <w:i/>
        </w:rPr>
      </w:pPr>
    </w:p>
    <w:p w14:paraId="5C6B2096" w14:textId="77777777" w:rsidR="00F25C41" w:rsidRDefault="00F25C41" w:rsidP="00F25C41">
      <w:pPr>
        <w:spacing w:after="0" w:line="240" w:lineRule="auto"/>
        <w:ind w:left="45"/>
        <w:rPr>
          <w:i/>
        </w:rPr>
      </w:pPr>
    </w:p>
    <w:p w14:paraId="14CDFFF3" w14:textId="77777777" w:rsidR="00F25C41" w:rsidRDefault="00F25C41" w:rsidP="00F25C41">
      <w:pPr>
        <w:spacing w:after="0" w:line="240" w:lineRule="auto"/>
        <w:ind w:left="45"/>
        <w:rPr>
          <w:i/>
        </w:rPr>
      </w:pPr>
    </w:p>
    <w:p w14:paraId="0258F8B1" w14:textId="77777777" w:rsidR="00F25C41" w:rsidRDefault="00F25C41" w:rsidP="00F25C41">
      <w:pPr>
        <w:spacing w:after="0" w:line="240" w:lineRule="auto"/>
        <w:ind w:left="45"/>
        <w:rPr>
          <w:i/>
        </w:rPr>
      </w:pPr>
    </w:p>
    <w:p w14:paraId="2A49615D" w14:textId="01584759" w:rsidR="00F25C41" w:rsidRDefault="00F25C41" w:rsidP="00F25C41">
      <w:pPr>
        <w:spacing w:after="0" w:line="240" w:lineRule="auto"/>
      </w:pPr>
    </w:p>
    <w:p w14:paraId="5C28F611" w14:textId="77777777" w:rsidR="00F25C41" w:rsidRDefault="00F25C41" w:rsidP="00F25C41">
      <w:pPr>
        <w:spacing w:after="0" w:line="240" w:lineRule="auto"/>
      </w:pPr>
    </w:p>
    <w:p w14:paraId="2A74CD62" w14:textId="77777777" w:rsidR="00F25C41" w:rsidRDefault="00F25C41" w:rsidP="00F25C41">
      <w:pPr>
        <w:spacing w:after="0" w:line="240" w:lineRule="auto"/>
      </w:pPr>
    </w:p>
    <w:p w14:paraId="5DF7EEF5" w14:textId="77777777" w:rsidR="00F25C41" w:rsidRDefault="00F25C41"/>
    <w:sectPr w:rsidR="00F25C41" w:rsidSect="00F25C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A1513" w14:textId="77777777" w:rsidR="001C02AB" w:rsidRDefault="001C02AB" w:rsidP="001C02AB">
      <w:pPr>
        <w:spacing w:after="0" w:line="240" w:lineRule="auto"/>
      </w:pPr>
      <w:r>
        <w:separator/>
      </w:r>
    </w:p>
  </w:endnote>
  <w:endnote w:type="continuationSeparator" w:id="0">
    <w:p w14:paraId="6CDA02EF" w14:textId="77777777" w:rsidR="001C02AB" w:rsidRDefault="001C02AB" w:rsidP="001C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A70E" w14:textId="77777777" w:rsidR="001C02AB" w:rsidRDefault="001C02AB" w:rsidP="001C02AB">
      <w:pPr>
        <w:spacing w:after="0" w:line="240" w:lineRule="auto"/>
      </w:pPr>
      <w:r>
        <w:separator/>
      </w:r>
    </w:p>
  </w:footnote>
  <w:footnote w:type="continuationSeparator" w:id="0">
    <w:p w14:paraId="7D24C96F" w14:textId="77777777" w:rsidR="001C02AB" w:rsidRDefault="001C02AB" w:rsidP="001C0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0E85"/>
    <w:multiLevelType w:val="hybridMultilevel"/>
    <w:tmpl w:val="5F84D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E6642"/>
    <w:multiLevelType w:val="hybridMultilevel"/>
    <w:tmpl w:val="258CB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A3631"/>
    <w:multiLevelType w:val="hybridMultilevel"/>
    <w:tmpl w:val="E6723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392EF7"/>
    <w:multiLevelType w:val="hybridMultilevel"/>
    <w:tmpl w:val="F3C4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3108E"/>
    <w:multiLevelType w:val="hybridMultilevel"/>
    <w:tmpl w:val="CE5A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5538A"/>
    <w:multiLevelType w:val="hybridMultilevel"/>
    <w:tmpl w:val="4AEE22BE"/>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41"/>
    <w:rsid w:val="0011006F"/>
    <w:rsid w:val="001C02AB"/>
    <w:rsid w:val="00317DBE"/>
    <w:rsid w:val="004C60CF"/>
    <w:rsid w:val="004D4450"/>
    <w:rsid w:val="005D5988"/>
    <w:rsid w:val="006646B6"/>
    <w:rsid w:val="007105A4"/>
    <w:rsid w:val="0073567C"/>
    <w:rsid w:val="00773883"/>
    <w:rsid w:val="00847B86"/>
    <w:rsid w:val="00A368EA"/>
    <w:rsid w:val="00AE17D2"/>
    <w:rsid w:val="00B115B2"/>
    <w:rsid w:val="00B64344"/>
    <w:rsid w:val="00E404ED"/>
    <w:rsid w:val="00ED1B0A"/>
    <w:rsid w:val="00F2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1F7B"/>
  <w15:chartTrackingRefBased/>
  <w15:docId w15:val="{2040B0A5-9F8D-413C-996E-D276D227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41"/>
  </w:style>
  <w:style w:type="paragraph" w:styleId="Heading1">
    <w:name w:val="heading 1"/>
    <w:basedOn w:val="Normal"/>
    <w:next w:val="Normal"/>
    <w:link w:val="Heading1Char"/>
    <w:uiPriority w:val="9"/>
    <w:qFormat/>
    <w:rsid w:val="006646B6"/>
    <w:pPr>
      <w:keepNext/>
      <w:keepLines/>
      <w:spacing w:after="0" w:line="36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25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qFormat/>
    <w:rsid w:val="00E404ED"/>
    <w:pPr>
      <w:spacing w:after="0" w:line="240" w:lineRule="auto"/>
    </w:pPr>
    <w:rPr>
      <w:rFonts w:ascii="Times New Roman" w:eastAsia="Times New Roman" w:hAnsi="Times New Roman" w:cs="Times New Roman"/>
      <w:sz w:val="28"/>
      <w:szCs w:val="20"/>
    </w:rPr>
  </w:style>
  <w:style w:type="character" w:customStyle="1" w:styleId="CommentTextChar">
    <w:name w:val="Comment Text Char"/>
    <w:basedOn w:val="DefaultParagraphFont"/>
    <w:link w:val="CommentText"/>
    <w:uiPriority w:val="99"/>
    <w:rsid w:val="00E404ED"/>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rsid w:val="00F25C4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25C41"/>
    <w:pPr>
      <w:ind w:left="720"/>
      <w:contextualSpacing/>
    </w:pPr>
  </w:style>
  <w:style w:type="character" w:styleId="CommentReference">
    <w:name w:val="annotation reference"/>
    <w:basedOn w:val="DefaultParagraphFont"/>
    <w:uiPriority w:val="99"/>
    <w:semiHidden/>
    <w:unhideWhenUsed/>
    <w:rsid w:val="00F25C41"/>
    <w:rPr>
      <w:sz w:val="16"/>
      <w:szCs w:val="16"/>
    </w:rPr>
  </w:style>
  <w:style w:type="table" w:customStyle="1" w:styleId="GridTable1Light-Accent51">
    <w:name w:val="Grid Table 1 Light - Accent 51"/>
    <w:basedOn w:val="TableNormal"/>
    <w:uiPriority w:val="46"/>
    <w:rsid w:val="00F25C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25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1"/>
    <w:rPr>
      <w:rFonts w:ascii="Segoe UI" w:hAnsi="Segoe UI" w:cs="Segoe UI"/>
      <w:sz w:val="18"/>
      <w:szCs w:val="18"/>
    </w:rPr>
  </w:style>
  <w:style w:type="character" w:customStyle="1" w:styleId="Heading1Char">
    <w:name w:val="Heading 1 Char"/>
    <w:basedOn w:val="DefaultParagraphFont"/>
    <w:link w:val="Heading1"/>
    <w:uiPriority w:val="9"/>
    <w:rsid w:val="006646B6"/>
    <w:rPr>
      <w:rFonts w:eastAsiaTheme="majorEastAsia" w:cstheme="majorBidi"/>
      <w:b/>
      <w:sz w:val="24"/>
      <w:szCs w:val="32"/>
    </w:rPr>
  </w:style>
  <w:style w:type="paragraph" w:styleId="Header">
    <w:name w:val="header"/>
    <w:basedOn w:val="Normal"/>
    <w:link w:val="HeaderChar"/>
    <w:uiPriority w:val="99"/>
    <w:unhideWhenUsed/>
    <w:rsid w:val="001C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AB"/>
  </w:style>
  <w:style w:type="paragraph" w:styleId="Footer">
    <w:name w:val="footer"/>
    <w:basedOn w:val="Normal"/>
    <w:link w:val="FooterChar"/>
    <w:uiPriority w:val="99"/>
    <w:unhideWhenUsed/>
    <w:rsid w:val="001C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Berkowitz</dc:creator>
  <cp:keywords/>
  <dc:description/>
  <cp:lastModifiedBy>Esther Berkowitz</cp:lastModifiedBy>
  <cp:revision>9</cp:revision>
  <dcterms:created xsi:type="dcterms:W3CDTF">2017-08-11T17:57:00Z</dcterms:created>
  <dcterms:modified xsi:type="dcterms:W3CDTF">2017-09-19T19:57:00Z</dcterms:modified>
</cp:coreProperties>
</file>