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DD" w:rsidRPr="004E1E29" w:rsidRDefault="00251CDD" w:rsidP="00251C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1E29">
        <w:rPr>
          <w:rFonts w:ascii="Times New Roman" w:hAnsi="Times New Roman" w:cs="Times New Roman"/>
          <w:sz w:val="24"/>
          <w:szCs w:val="24"/>
        </w:rPr>
        <w:t>Figure S1</w:t>
      </w:r>
      <w:r w:rsidR="003219D4" w:rsidRPr="004E1E29">
        <w:rPr>
          <w:rFonts w:ascii="Times New Roman" w:hAnsi="Times New Roman" w:cs="Times New Roman"/>
          <w:sz w:val="24"/>
          <w:szCs w:val="24"/>
        </w:rPr>
        <w:t xml:space="preserve"> </w:t>
      </w:r>
      <w:r w:rsidRPr="004E1E29">
        <w:rPr>
          <w:rFonts w:ascii="Times New Roman" w:hAnsi="Times New Roman" w:cs="Times New Roman"/>
          <w:sz w:val="24"/>
          <w:szCs w:val="24"/>
        </w:rPr>
        <w:t>Genomic features of patients with GC who received RAM-containing therapies.</w:t>
      </w:r>
    </w:p>
    <w:bookmarkEnd w:id="0"/>
    <w:p w:rsidR="009133CB" w:rsidRPr="00251CDD" w:rsidRDefault="00680196" w:rsidP="00251CDD">
      <w:r w:rsidRPr="0068019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399882" cy="3505200"/>
            <wp:effectExtent l="0" t="0" r="0" b="0"/>
            <wp:docPr id="2" name="図 2" descr="C:\Users\Togashi\Dropbox\Togashi\研究\Clinical data\RAM\For article\JITC\Figure JI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gashi\Dropbox\Togashi\研究\Clinical data\RAM\For article\JITC\Figure JIT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35"/>
                    <a:stretch/>
                  </pic:blipFill>
                  <pic:spPr bwMode="auto">
                    <a:xfrm>
                      <a:off x="0" y="0"/>
                      <a:ext cx="5400040" cy="35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05CF" w:rsidRPr="00B3235A">
        <w:rPr>
          <w:rFonts w:ascii="Times New Roman" w:hAnsi="Times New Roman" w:cs="Times New Roman"/>
          <w:sz w:val="24"/>
          <w:szCs w:val="24"/>
        </w:rPr>
        <w:t xml:space="preserve">DNA and RNA were extracted from </w:t>
      </w:r>
      <w:r w:rsidR="003A05CF" w:rsidRPr="00B3235A">
        <w:rPr>
          <w:rFonts w:ascii="Times New Roman" w:hAnsi="Times New Roman" w:cs="Times New Roman"/>
          <w:kern w:val="0"/>
          <w:sz w:val="24"/>
          <w:szCs w:val="24"/>
        </w:rPr>
        <w:t>FFPE</w:t>
      </w:r>
      <w:r w:rsidR="003A05CF" w:rsidRPr="00B3235A">
        <w:rPr>
          <w:rFonts w:ascii="Times New Roman" w:hAnsi="Times New Roman" w:cs="Times New Roman"/>
          <w:sz w:val="24"/>
          <w:szCs w:val="24"/>
        </w:rPr>
        <w:t xml:space="preserve"> tumor samples before treatment and were subjected to the </w:t>
      </w:r>
      <w:proofErr w:type="spellStart"/>
      <w:r w:rsidR="003A05CF" w:rsidRPr="00B3235A">
        <w:rPr>
          <w:rFonts w:ascii="Times New Roman" w:hAnsi="Times New Roman" w:cs="Times New Roman"/>
          <w:sz w:val="24"/>
          <w:szCs w:val="24"/>
        </w:rPr>
        <w:t>Oncomine</w:t>
      </w:r>
      <w:proofErr w:type="spellEnd"/>
      <w:r w:rsidR="003A05CF" w:rsidRPr="00B3235A">
        <w:rPr>
          <w:rFonts w:ascii="Times New Roman" w:hAnsi="Times New Roman" w:cs="Times New Roman"/>
          <w:sz w:val="24"/>
          <w:szCs w:val="24"/>
        </w:rPr>
        <w:t>™ Comprehensive Assay version 3</w:t>
      </w:r>
      <w:r w:rsidR="003A05CF" w:rsidRPr="003A05CF">
        <w:rPr>
          <w:rFonts w:ascii="Times New Roman" w:hAnsi="Times New Roman" w:cs="Times New Roman"/>
          <w:sz w:val="24"/>
          <w:szCs w:val="24"/>
        </w:rPr>
        <w:t xml:space="preserve"> </w:t>
      </w:r>
      <w:r w:rsidR="003A05CF" w:rsidRPr="00B3235A">
        <w:rPr>
          <w:rFonts w:ascii="Times New Roman" w:hAnsi="Times New Roman" w:cs="Times New Roman"/>
          <w:sz w:val="24"/>
          <w:szCs w:val="24"/>
        </w:rPr>
        <w:t>to detect gene mutations, copy number variants and fusions across multiple genes</w:t>
      </w:r>
      <w:r w:rsidR="003A05CF">
        <w:rPr>
          <w:rFonts w:ascii="Times New Roman" w:hAnsi="Times New Roman" w:cs="Times New Roman"/>
          <w:sz w:val="24"/>
          <w:szCs w:val="24"/>
        </w:rPr>
        <w:t>.</w:t>
      </w:r>
      <w:r w:rsidR="003A05CF" w:rsidRPr="00B323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1CDD" w:rsidRPr="00B3235A">
        <w:rPr>
          <w:rFonts w:ascii="Times New Roman" w:eastAsia="AdvMyriadPro-SBI" w:hAnsi="Times New Roman" w:cs="Times New Roman"/>
          <w:i/>
          <w:kern w:val="0"/>
          <w:sz w:val="24"/>
          <w:szCs w:val="24"/>
        </w:rPr>
        <w:t>TP53</w:t>
      </w:r>
      <w:r w:rsidR="00251CDD" w:rsidRPr="00B3235A">
        <w:rPr>
          <w:rFonts w:ascii="Times New Roman" w:eastAsia="AdvMyriadPro-SBI" w:hAnsi="Times New Roman" w:cs="Times New Roman"/>
          <w:kern w:val="0"/>
          <w:sz w:val="24"/>
          <w:szCs w:val="24"/>
        </w:rPr>
        <w:t xml:space="preserve"> were frequently mutated (10/17) and </w:t>
      </w:r>
      <w:r w:rsidR="00251CDD" w:rsidRPr="00B3235A">
        <w:rPr>
          <w:rFonts w:ascii="Times New Roman" w:eastAsia="AdvMyriadPro-SBI" w:hAnsi="Times New Roman" w:cs="Times New Roman"/>
          <w:i/>
          <w:kern w:val="0"/>
          <w:sz w:val="24"/>
          <w:szCs w:val="24"/>
        </w:rPr>
        <w:t>ERBB2</w:t>
      </w:r>
      <w:r w:rsidR="00251CDD" w:rsidRPr="00B3235A">
        <w:rPr>
          <w:rFonts w:ascii="Times New Roman" w:eastAsia="AdvMyriadPro-SBI" w:hAnsi="Times New Roman" w:cs="Times New Roman"/>
          <w:kern w:val="0"/>
          <w:sz w:val="24"/>
          <w:szCs w:val="24"/>
        </w:rPr>
        <w:t xml:space="preserve">, </w:t>
      </w:r>
      <w:r w:rsidR="00251CDD" w:rsidRPr="00B3235A">
        <w:rPr>
          <w:rFonts w:ascii="Times New Roman" w:eastAsia="AdvMyriadPro-SBI" w:hAnsi="Times New Roman" w:cs="Times New Roman"/>
          <w:i/>
          <w:kern w:val="0"/>
          <w:sz w:val="24"/>
          <w:szCs w:val="24"/>
        </w:rPr>
        <w:t>MET</w:t>
      </w:r>
      <w:r w:rsidR="00251CDD" w:rsidRPr="00B3235A">
        <w:rPr>
          <w:rFonts w:ascii="Times New Roman" w:eastAsia="AdvMyriadPro-SBI" w:hAnsi="Times New Roman" w:cs="Times New Roman"/>
          <w:kern w:val="0"/>
          <w:sz w:val="24"/>
          <w:szCs w:val="24"/>
        </w:rPr>
        <w:t xml:space="preserve">, </w:t>
      </w:r>
      <w:r w:rsidR="00251CDD" w:rsidRPr="00B3235A">
        <w:rPr>
          <w:rFonts w:ascii="Times New Roman" w:eastAsia="AdvMyriadPro-SBI" w:hAnsi="Times New Roman" w:cs="Times New Roman"/>
          <w:i/>
          <w:kern w:val="0"/>
          <w:sz w:val="24"/>
          <w:szCs w:val="24"/>
        </w:rPr>
        <w:t>FGFR2</w:t>
      </w:r>
      <w:r w:rsidR="00251CDD" w:rsidRPr="00B3235A">
        <w:rPr>
          <w:rFonts w:ascii="Times New Roman" w:eastAsia="AdvMyriadPro-SBI" w:hAnsi="Times New Roman" w:cs="Times New Roman"/>
          <w:kern w:val="0"/>
          <w:sz w:val="24"/>
          <w:szCs w:val="24"/>
        </w:rPr>
        <w:t xml:space="preserve">, or </w:t>
      </w:r>
      <w:r w:rsidR="00251CDD" w:rsidRPr="00B3235A">
        <w:rPr>
          <w:rFonts w:ascii="Times New Roman" w:eastAsia="AdvMyriadPro-SBI" w:hAnsi="Times New Roman" w:cs="Times New Roman"/>
          <w:i/>
          <w:kern w:val="0"/>
          <w:sz w:val="24"/>
          <w:szCs w:val="24"/>
        </w:rPr>
        <w:t>KRAS</w:t>
      </w:r>
      <w:r w:rsidR="00251CDD" w:rsidRPr="00B3235A">
        <w:rPr>
          <w:rFonts w:ascii="Times New Roman" w:eastAsia="AdvMyriadPro-SBI" w:hAnsi="Times New Roman" w:cs="Times New Roman"/>
          <w:kern w:val="0"/>
          <w:sz w:val="24"/>
          <w:szCs w:val="24"/>
        </w:rPr>
        <w:t xml:space="preserve">, amplification, or a </w:t>
      </w:r>
      <w:r w:rsidR="00251CDD" w:rsidRPr="00B3235A">
        <w:rPr>
          <w:rFonts w:ascii="Times New Roman" w:eastAsia="AdvMyriadPro-SBI" w:hAnsi="Times New Roman" w:cs="Times New Roman"/>
          <w:i/>
          <w:kern w:val="0"/>
          <w:sz w:val="24"/>
          <w:szCs w:val="24"/>
        </w:rPr>
        <w:t>RHOA</w:t>
      </w:r>
      <w:r w:rsidR="00251CDD" w:rsidRPr="00B3235A">
        <w:rPr>
          <w:rFonts w:ascii="Times New Roman" w:eastAsia="AdvMyriadPro-SBI" w:hAnsi="Times New Roman" w:cs="Times New Roman"/>
          <w:kern w:val="0"/>
          <w:sz w:val="24"/>
          <w:szCs w:val="24"/>
        </w:rPr>
        <w:t xml:space="preserve"> mutation were also identified</w:t>
      </w:r>
      <w:r w:rsidR="00251CDD">
        <w:rPr>
          <w:rFonts w:ascii="Times New Roman" w:eastAsia="AdvMyriadPro-SBI" w:hAnsi="Times New Roman" w:cs="Times New Roman"/>
          <w:kern w:val="0"/>
          <w:sz w:val="24"/>
          <w:szCs w:val="24"/>
        </w:rPr>
        <w:t>.</w:t>
      </w:r>
      <w:r w:rsidR="00251CDD" w:rsidRPr="00251CDD">
        <w:rPr>
          <w:rFonts w:ascii="Times New Roman" w:eastAsia="AdvMyriadPro-SBI" w:hAnsi="Times New Roman" w:cs="Times New Roman"/>
          <w:kern w:val="0"/>
          <w:sz w:val="24"/>
          <w:szCs w:val="24"/>
        </w:rPr>
        <w:t xml:space="preserve"> </w:t>
      </w:r>
      <w:r w:rsidR="00251CDD" w:rsidRPr="00B3235A">
        <w:rPr>
          <w:rFonts w:ascii="Times New Roman" w:eastAsia="AdvMyriadPro-SBI" w:hAnsi="Times New Roman" w:cs="Times New Roman"/>
          <w:kern w:val="0"/>
          <w:sz w:val="24"/>
          <w:szCs w:val="24"/>
        </w:rPr>
        <w:t>In contrast, all were MMR proficient GC and only one was EBV-positive GC</w:t>
      </w:r>
      <w:r w:rsidR="00251CDD">
        <w:rPr>
          <w:rFonts w:ascii="Times New Roman" w:eastAsia="AdvMyriadPro-SBI" w:hAnsi="Times New Roman" w:cs="Times New Roman"/>
          <w:kern w:val="0"/>
          <w:sz w:val="24"/>
          <w:szCs w:val="24"/>
        </w:rPr>
        <w:t xml:space="preserve"> (an arrow).</w:t>
      </w:r>
      <w:r w:rsidR="00B23B47">
        <w:rPr>
          <w:rFonts w:ascii="Times New Roman" w:eastAsia="AdvMyriadPro-SBI" w:hAnsi="Times New Roman" w:cs="Times New Roman"/>
          <w:kern w:val="0"/>
          <w:sz w:val="24"/>
          <w:szCs w:val="24"/>
        </w:rPr>
        <w:t xml:space="preserve"> </w:t>
      </w:r>
      <w:proofErr w:type="gramStart"/>
      <w:r w:rsidR="00B23B47">
        <w:rPr>
          <w:rFonts w:ascii="Times New Roman" w:eastAsia="AdvMyriadPro-SBI" w:hAnsi="Times New Roman" w:cs="Times New Roman"/>
          <w:kern w:val="0"/>
          <w:sz w:val="24"/>
          <w:szCs w:val="24"/>
        </w:rPr>
        <w:t>RTK, receptor tyrosine kinase; NA, not available.</w:t>
      </w:r>
      <w:proofErr w:type="gramEnd"/>
    </w:p>
    <w:sectPr w:rsidR="009133CB" w:rsidRPr="00251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96" w:rsidRDefault="00530896" w:rsidP="00680196">
      <w:r>
        <w:separator/>
      </w:r>
    </w:p>
  </w:endnote>
  <w:endnote w:type="continuationSeparator" w:id="0">
    <w:p w:rsidR="00530896" w:rsidRDefault="00530896" w:rsidP="006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AdvMyriadPro-SB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96" w:rsidRDefault="00530896" w:rsidP="00680196">
      <w:r>
        <w:separator/>
      </w:r>
    </w:p>
  </w:footnote>
  <w:footnote w:type="continuationSeparator" w:id="0">
    <w:p w:rsidR="00530896" w:rsidRDefault="00530896" w:rsidP="00680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"/>
  </w:docVars>
  <w:rsids>
    <w:rsidRoot w:val="00251CDD"/>
    <w:rsid w:val="00251CDD"/>
    <w:rsid w:val="003219D4"/>
    <w:rsid w:val="003A05CF"/>
    <w:rsid w:val="004E1E29"/>
    <w:rsid w:val="00530896"/>
    <w:rsid w:val="00647236"/>
    <w:rsid w:val="00680196"/>
    <w:rsid w:val="009133CB"/>
    <w:rsid w:val="00943629"/>
    <w:rsid w:val="00AB4393"/>
    <w:rsid w:val="00B23B47"/>
    <w:rsid w:val="00BC10AA"/>
    <w:rsid w:val="00E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D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0196"/>
  </w:style>
  <w:style w:type="paragraph" w:styleId="Footer">
    <w:name w:val="footer"/>
    <w:basedOn w:val="Normal"/>
    <w:link w:val="FooterChar"/>
    <w:uiPriority w:val="99"/>
    <w:unhideWhenUsed/>
    <w:rsid w:val="00680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D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1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0196"/>
  </w:style>
  <w:style w:type="paragraph" w:styleId="Footer">
    <w:name w:val="footer"/>
    <w:basedOn w:val="Normal"/>
    <w:link w:val="FooterChar"/>
    <w:uiPriority w:val="99"/>
    <w:unhideWhenUsed/>
    <w:rsid w:val="006801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Togashi</dc:creator>
  <cp:keywords/>
  <dc:description/>
  <cp:lastModifiedBy>JCVILLEGAS</cp:lastModifiedBy>
  <cp:revision>8</cp:revision>
  <dcterms:created xsi:type="dcterms:W3CDTF">2018-08-12T14:43:00Z</dcterms:created>
  <dcterms:modified xsi:type="dcterms:W3CDTF">2018-09-06T09:56:00Z</dcterms:modified>
</cp:coreProperties>
</file>