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BBD40" w14:textId="20DE9F2A" w:rsidR="008F1EDC" w:rsidRDefault="00ED63F1">
      <w:r>
        <w:rPr>
          <w:noProof/>
        </w:rPr>
        <w:drawing>
          <wp:inline distT="0" distB="0" distL="0" distR="0" wp14:anchorId="178CE122" wp14:editId="6367D727">
            <wp:extent cx="2329732" cy="243327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25 at 4.53.52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13" cy="24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9C0C" w14:textId="39F43AB3" w:rsidR="008F1EDC" w:rsidRDefault="008F1EDC"/>
    <w:p w14:paraId="3B40699F" w14:textId="7251A534" w:rsidR="00ED63F1" w:rsidRPr="008F1EDC" w:rsidRDefault="00ED63F1" w:rsidP="00ED63F1">
      <w:pPr>
        <w:rPr>
          <w:rFonts w:ascii="Arial" w:hAnsi="Arial" w:cs="Arial"/>
        </w:rPr>
      </w:pPr>
      <w:r w:rsidRPr="008F1EDC">
        <w:rPr>
          <w:rFonts w:ascii="Arial" w:hAnsi="Arial" w:cs="Arial"/>
        </w:rPr>
        <w:t xml:space="preserve">Supplemental Figure S1. </w:t>
      </w:r>
      <w:r>
        <w:rPr>
          <w:rFonts w:ascii="Arial" w:hAnsi="Arial" w:cs="Arial"/>
        </w:rPr>
        <w:t xml:space="preserve">Contingency plot of HPV subtype and </w:t>
      </w:r>
      <w:r w:rsidR="00B02565">
        <w:rPr>
          <w:rFonts w:ascii="Arial" w:hAnsi="Arial" w:cs="Arial"/>
        </w:rPr>
        <w:t>development of a partial response to avelumab</w:t>
      </w:r>
      <w:r>
        <w:rPr>
          <w:rFonts w:ascii="Arial" w:hAnsi="Arial" w:cs="Arial"/>
        </w:rPr>
        <w:t>. Assessed for statistical significance with the Fisher’s exact test.</w:t>
      </w:r>
    </w:p>
    <w:p w14:paraId="697CB74C" w14:textId="7090C961" w:rsidR="00ED63F1" w:rsidRDefault="00ED63F1"/>
    <w:p w14:paraId="7D8A8838" w14:textId="4698C175" w:rsidR="00ED63F1" w:rsidRDefault="00ED63F1"/>
    <w:p w14:paraId="6D427BBE" w14:textId="1D74513B" w:rsidR="00ED63F1" w:rsidRDefault="00ED63F1"/>
    <w:p w14:paraId="125D0972" w14:textId="1640190F" w:rsidR="00F0434A" w:rsidRDefault="00F0434A"/>
    <w:p w14:paraId="340E023B" w14:textId="18786A9A" w:rsidR="00F0434A" w:rsidRDefault="00F0434A"/>
    <w:p w14:paraId="5E9E4F44" w14:textId="7A53BBD1" w:rsidR="00F0434A" w:rsidRDefault="00F0434A"/>
    <w:p w14:paraId="79593224" w14:textId="6DE57A99" w:rsidR="00F0434A" w:rsidRDefault="00F0434A"/>
    <w:p w14:paraId="179D329A" w14:textId="04AAEA88" w:rsidR="00F0434A" w:rsidRDefault="00F0434A"/>
    <w:p w14:paraId="2BF419CE" w14:textId="4E8EC8BB" w:rsidR="00F0434A" w:rsidRDefault="00F0434A"/>
    <w:p w14:paraId="56B7800E" w14:textId="58B875EC" w:rsidR="00F0434A" w:rsidRDefault="00F0434A"/>
    <w:p w14:paraId="3790BA99" w14:textId="46534D95" w:rsidR="00F0434A" w:rsidRDefault="00F0434A"/>
    <w:p w14:paraId="04D42A58" w14:textId="5A6923F2" w:rsidR="00F0434A" w:rsidRDefault="00F0434A"/>
    <w:p w14:paraId="0E94DAAD" w14:textId="7F95D791" w:rsidR="00F0434A" w:rsidRDefault="00F0434A"/>
    <w:p w14:paraId="327BC2C6" w14:textId="50EBEB63" w:rsidR="00F0434A" w:rsidRDefault="00F0434A"/>
    <w:p w14:paraId="05B21D6B" w14:textId="1D1F4D4B" w:rsidR="00F0434A" w:rsidRDefault="00F0434A"/>
    <w:p w14:paraId="54E4EB4B" w14:textId="77777777" w:rsidR="00F0434A" w:rsidRDefault="00F0434A"/>
    <w:p w14:paraId="4482A65E" w14:textId="77777777" w:rsidR="00ED63F1" w:rsidRDefault="00ED63F1"/>
    <w:p w14:paraId="60B92603" w14:textId="77777777" w:rsidR="00ED63F1" w:rsidRDefault="00ED63F1"/>
    <w:p w14:paraId="6B189A6F" w14:textId="58A583AB" w:rsidR="008F1EDC" w:rsidRDefault="008F1EDC">
      <w:r>
        <w:rPr>
          <w:noProof/>
        </w:rPr>
        <w:lastRenderedPageBreak/>
        <w:drawing>
          <wp:inline distT="0" distB="0" distL="0" distR="0" wp14:anchorId="2E01CB6F" wp14:editId="03EA054A">
            <wp:extent cx="2250219" cy="23908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25 at 4.48.43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21" cy="24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6EA6" w14:textId="6810F580" w:rsidR="008F1EDC" w:rsidRDefault="008F1EDC"/>
    <w:p w14:paraId="6DA71FD1" w14:textId="5EDA0F2D" w:rsidR="008F1EDC" w:rsidRPr="008F1EDC" w:rsidRDefault="008F1EDC">
      <w:pPr>
        <w:rPr>
          <w:rFonts w:ascii="Arial" w:hAnsi="Arial" w:cs="Arial"/>
        </w:rPr>
      </w:pPr>
      <w:r w:rsidRPr="008F1EDC">
        <w:rPr>
          <w:rFonts w:ascii="Arial" w:hAnsi="Arial" w:cs="Arial"/>
        </w:rPr>
        <w:t>Supplemental Figure S</w:t>
      </w:r>
      <w:r w:rsidR="000007C4">
        <w:rPr>
          <w:rFonts w:ascii="Arial" w:hAnsi="Arial" w:cs="Arial"/>
        </w:rPr>
        <w:t>2</w:t>
      </w:r>
      <w:r w:rsidRPr="008F1ED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Contingency plot of HPV subtype and the presence of pulmonary disease. Assessed for statistical significance with the Fisher’s exact test.</w:t>
      </w:r>
    </w:p>
    <w:p w14:paraId="7ECBE99E" w14:textId="6FCE4ABB" w:rsidR="008F1EDC" w:rsidRDefault="008F1EDC"/>
    <w:p w14:paraId="5815DD58" w14:textId="6D238D29" w:rsidR="008F1EDC" w:rsidRDefault="008F1EDC"/>
    <w:p w14:paraId="07EB53D6" w14:textId="69FBE89E" w:rsidR="00F0434A" w:rsidRDefault="00F0434A"/>
    <w:p w14:paraId="0017F83A" w14:textId="329A8218" w:rsidR="00F0434A" w:rsidRDefault="00F0434A"/>
    <w:p w14:paraId="6C7D8EF6" w14:textId="27E25C58" w:rsidR="00F0434A" w:rsidRDefault="00F0434A"/>
    <w:p w14:paraId="31FD61E1" w14:textId="60A0BA45" w:rsidR="00F0434A" w:rsidRDefault="00F0434A"/>
    <w:p w14:paraId="1116D87D" w14:textId="347BEAB5" w:rsidR="00F0434A" w:rsidRDefault="00F0434A"/>
    <w:p w14:paraId="10E7FD8B" w14:textId="2EF68488" w:rsidR="00F0434A" w:rsidRDefault="00F0434A"/>
    <w:p w14:paraId="42471060" w14:textId="3B4C0AD7" w:rsidR="00F0434A" w:rsidRDefault="00F0434A"/>
    <w:p w14:paraId="6F48BD62" w14:textId="54964C4A" w:rsidR="00F0434A" w:rsidRDefault="00F0434A"/>
    <w:p w14:paraId="24F99E1B" w14:textId="173348E1" w:rsidR="00F0434A" w:rsidRDefault="00F0434A"/>
    <w:p w14:paraId="257F95C3" w14:textId="2AA13242" w:rsidR="00F0434A" w:rsidRDefault="00F0434A"/>
    <w:p w14:paraId="0511CE58" w14:textId="1725BA92" w:rsidR="00F0434A" w:rsidRDefault="00F0434A"/>
    <w:p w14:paraId="1D733A26" w14:textId="688A85BD" w:rsidR="00F0434A" w:rsidRDefault="00F0434A"/>
    <w:p w14:paraId="25399DDF" w14:textId="77777777" w:rsidR="00F0434A" w:rsidRDefault="00F0434A"/>
    <w:p w14:paraId="6D807DF1" w14:textId="482B2BCA" w:rsidR="002E23E0" w:rsidRDefault="001238A7">
      <w:r>
        <w:rPr>
          <w:noProof/>
        </w:rPr>
        <w:lastRenderedPageBreak/>
        <w:drawing>
          <wp:inline distT="0" distB="0" distL="0" distR="0" wp14:anchorId="0608689C" wp14:editId="6381A505">
            <wp:extent cx="2544252" cy="281476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25 at 4.34.15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30" cy="28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14F8" w14:textId="61083AF8" w:rsidR="001238A7" w:rsidRDefault="001238A7"/>
    <w:p w14:paraId="13CB23DF" w14:textId="007E2873" w:rsidR="001238A7" w:rsidRPr="001238A7" w:rsidRDefault="001238A7">
      <w:pPr>
        <w:rPr>
          <w:rFonts w:ascii="Arial" w:hAnsi="Arial" w:cs="Arial"/>
        </w:rPr>
      </w:pPr>
      <w:r w:rsidRPr="001238A7">
        <w:rPr>
          <w:rFonts w:ascii="Arial" w:hAnsi="Arial" w:cs="Arial"/>
        </w:rPr>
        <w:t>Supplemental Fig</w:t>
      </w:r>
      <w:r>
        <w:rPr>
          <w:rFonts w:ascii="Arial" w:hAnsi="Arial" w:cs="Arial"/>
        </w:rPr>
        <w:t>ure</w:t>
      </w:r>
      <w:r w:rsidRPr="001238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0007C4">
        <w:rPr>
          <w:rFonts w:ascii="Arial" w:hAnsi="Arial" w:cs="Arial"/>
        </w:rPr>
        <w:t>3</w:t>
      </w:r>
      <w:r w:rsidRPr="001238A7">
        <w:rPr>
          <w:rFonts w:ascii="Arial" w:hAnsi="Arial" w:cs="Arial"/>
        </w:rPr>
        <w:t xml:space="preserve">. </w:t>
      </w:r>
      <w:r w:rsidR="00CB1495">
        <w:rPr>
          <w:rFonts w:ascii="Arial" w:hAnsi="Arial" w:cs="Arial"/>
        </w:rPr>
        <w:t xml:space="preserve">Contingency plot of patients who received polyvalent HPV vaccine prior to enrollment and patients who experienced a partial response to avelumab. Assessed for statistical significance with the Fisher’s exact test. </w:t>
      </w:r>
    </w:p>
    <w:p w14:paraId="6C8A64F0" w14:textId="144F2F12" w:rsidR="001238A7" w:rsidRDefault="001238A7"/>
    <w:p w14:paraId="3CCD7DF6" w14:textId="32661797" w:rsidR="001238A7" w:rsidRDefault="001238A7"/>
    <w:p w14:paraId="11A3D1CD" w14:textId="6569ECE5" w:rsidR="001238A7" w:rsidRDefault="001238A7"/>
    <w:p w14:paraId="2BB1FC16" w14:textId="6620AB3C" w:rsidR="001238A7" w:rsidRDefault="001238A7"/>
    <w:p w14:paraId="0E56156F" w14:textId="77777777" w:rsidR="001238A7" w:rsidRDefault="001238A7"/>
    <w:p w14:paraId="27BC3D52" w14:textId="2E6A314E" w:rsidR="001238A7" w:rsidRDefault="001238A7"/>
    <w:p w14:paraId="3AF24724" w14:textId="7BA006B1" w:rsidR="00F0434A" w:rsidRDefault="00F0434A"/>
    <w:p w14:paraId="452DB39B" w14:textId="05500C2A" w:rsidR="00F0434A" w:rsidRDefault="00F0434A"/>
    <w:p w14:paraId="6AEF6C57" w14:textId="7E1C3193" w:rsidR="00F0434A" w:rsidRDefault="00F0434A"/>
    <w:p w14:paraId="1AA6CADE" w14:textId="0BC160DF" w:rsidR="00F0434A" w:rsidRDefault="00F0434A"/>
    <w:p w14:paraId="14AE03A9" w14:textId="72CF2A28" w:rsidR="00F0434A" w:rsidRDefault="00F0434A"/>
    <w:p w14:paraId="1091307A" w14:textId="2CFD7A2F" w:rsidR="00F0434A" w:rsidRDefault="00F0434A"/>
    <w:p w14:paraId="134529F4" w14:textId="5F67370D" w:rsidR="00F0434A" w:rsidRDefault="00F0434A"/>
    <w:p w14:paraId="15B7DD85" w14:textId="49B9EB17" w:rsidR="00F0434A" w:rsidRDefault="00F0434A"/>
    <w:p w14:paraId="7C7CBEE6" w14:textId="58B46CD2" w:rsidR="00F0434A" w:rsidRDefault="00F0434A"/>
    <w:p w14:paraId="1CBFAA74" w14:textId="7FFAE8C5" w:rsidR="00F0434A" w:rsidRDefault="00F0434A"/>
    <w:p w14:paraId="57C0DC74" w14:textId="1CD636F8" w:rsidR="00F0434A" w:rsidRDefault="00F0434A"/>
    <w:p w14:paraId="61077FFD" w14:textId="77777777" w:rsidR="00F0434A" w:rsidRDefault="00F0434A"/>
    <w:p w14:paraId="58A4A3D4" w14:textId="3F2DEBBC" w:rsidR="001238A7" w:rsidRDefault="001238A7"/>
    <w:p w14:paraId="5FB95E77" w14:textId="77777777" w:rsidR="001238A7" w:rsidRDefault="001238A7"/>
    <w:p w14:paraId="08E8758E" w14:textId="5CEB8AB2" w:rsidR="001C755E" w:rsidRDefault="001238A7">
      <w:r>
        <w:rPr>
          <w:noProof/>
        </w:rPr>
        <w:lastRenderedPageBreak/>
        <w:drawing>
          <wp:inline distT="0" distB="0" distL="0" distR="0" wp14:anchorId="5334B431" wp14:editId="30C10494">
            <wp:extent cx="5943600" cy="1582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789A" w14:textId="77777777" w:rsidR="001238A7" w:rsidRDefault="001238A7" w:rsidP="001C755E">
      <w:pPr>
        <w:rPr>
          <w:rFonts w:ascii="Arial" w:hAnsi="Arial" w:cs="Arial"/>
        </w:rPr>
      </w:pPr>
    </w:p>
    <w:p w14:paraId="1C8FFB6B" w14:textId="77777777" w:rsidR="001238A7" w:rsidRDefault="001238A7" w:rsidP="001C755E">
      <w:pPr>
        <w:rPr>
          <w:rFonts w:ascii="Arial" w:hAnsi="Arial" w:cs="Arial"/>
        </w:rPr>
      </w:pPr>
    </w:p>
    <w:p w14:paraId="06473E4B" w14:textId="467B7979" w:rsidR="001C755E" w:rsidRPr="0084576B" w:rsidRDefault="001C755E" w:rsidP="001C755E">
      <w:pPr>
        <w:rPr>
          <w:rFonts w:ascii="Arial" w:hAnsi="Arial" w:cs="Arial"/>
        </w:rPr>
      </w:pPr>
      <w:r w:rsidRPr="0084576B">
        <w:rPr>
          <w:rFonts w:ascii="Arial" w:hAnsi="Arial" w:cs="Arial"/>
        </w:rPr>
        <w:t>Supplemental Fig</w:t>
      </w:r>
      <w:r w:rsidR="001238A7">
        <w:rPr>
          <w:rFonts w:ascii="Arial" w:hAnsi="Arial" w:cs="Arial"/>
        </w:rPr>
        <w:t>ure S</w:t>
      </w:r>
      <w:r w:rsidR="000007C4">
        <w:rPr>
          <w:rFonts w:ascii="Arial" w:hAnsi="Arial" w:cs="Arial"/>
        </w:rPr>
        <w:t>4</w:t>
      </w:r>
      <w:r w:rsidRPr="0084576B">
        <w:rPr>
          <w:rFonts w:ascii="Arial" w:hAnsi="Arial" w:cs="Arial"/>
        </w:rPr>
        <w:t xml:space="preserve">. Expression of individual HPV 6 or 11 genes. Expression of individual HPV 6 (patients 5, 7, and 8) or HPV 11 (patient 9) genes in papilloma and normal mucosa was measured by droplet digital polymerase chain reaction. </w:t>
      </w:r>
    </w:p>
    <w:p w14:paraId="40248567" w14:textId="77777777" w:rsidR="001C755E" w:rsidRDefault="001C755E" w:rsidP="001C755E">
      <w:pPr>
        <w:rPr>
          <w:rFonts w:ascii="Arial" w:hAnsi="Arial" w:cs="Arial"/>
        </w:rPr>
      </w:pPr>
    </w:p>
    <w:p w14:paraId="325BE6D1" w14:textId="77C5FA14" w:rsidR="001C755E" w:rsidRDefault="001C755E" w:rsidP="001C755E">
      <w:pPr>
        <w:rPr>
          <w:rFonts w:ascii="Arial" w:hAnsi="Arial" w:cs="Arial"/>
        </w:rPr>
      </w:pPr>
    </w:p>
    <w:p w14:paraId="0117C40F" w14:textId="07C9316B" w:rsidR="00F0434A" w:rsidRDefault="00F0434A" w:rsidP="001C755E">
      <w:pPr>
        <w:rPr>
          <w:rFonts w:ascii="Arial" w:hAnsi="Arial" w:cs="Arial"/>
        </w:rPr>
      </w:pPr>
    </w:p>
    <w:p w14:paraId="4C7991AA" w14:textId="6ED60A26" w:rsidR="00F0434A" w:rsidRDefault="00F0434A" w:rsidP="001C755E">
      <w:pPr>
        <w:rPr>
          <w:rFonts w:ascii="Arial" w:hAnsi="Arial" w:cs="Arial"/>
        </w:rPr>
      </w:pPr>
    </w:p>
    <w:p w14:paraId="24503ECE" w14:textId="35862700" w:rsidR="00F0434A" w:rsidRDefault="00F0434A" w:rsidP="001C755E">
      <w:pPr>
        <w:rPr>
          <w:rFonts w:ascii="Arial" w:hAnsi="Arial" w:cs="Arial"/>
        </w:rPr>
      </w:pPr>
    </w:p>
    <w:p w14:paraId="7692ED62" w14:textId="7DA9C641" w:rsidR="00F0434A" w:rsidRDefault="00F0434A" w:rsidP="001C755E">
      <w:pPr>
        <w:rPr>
          <w:rFonts w:ascii="Arial" w:hAnsi="Arial" w:cs="Arial"/>
        </w:rPr>
      </w:pPr>
    </w:p>
    <w:p w14:paraId="75279CFA" w14:textId="0BBE1C48" w:rsidR="00F0434A" w:rsidRDefault="00F0434A" w:rsidP="001C755E">
      <w:pPr>
        <w:rPr>
          <w:rFonts w:ascii="Arial" w:hAnsi="Arial" w:cs="Arial"/>
        </w:rPr>
      </w:pPr>
    </w:p>
    <w:p w14:paraId="174FBA92" w14:textId="68B5204B" w:rsidR="00F0434A" w:rsidRDefault="00F0434A" w:rsidP="001C755E">
      <w:pPr>
        <w:rPr>
          <w:rFonts w:ascii="Arial" w:hAnsi="Arial" w:cs="Arial"/>
        </w:rPr>
      </w:pPr>
    </w:p>
    <w:p w14:paraId="07A4D25D" w14:textId="5926E997" w:rsidR="00F0434A" w:rsidRDefault="00F0434A" w:rsidP="001C755E">
      <w:pPr>
        <w:rPr>
          <w:rFonts w:ascii="Arial" w:hAnsi="Arial" w:cs="Arial"/>
        </w:rPr>
      </w:pPr>
    </w:p>
    <w:p w14:paraId="44DC1B59" w14:textId="4B1208D6" w:rsidR="00F0434A" w:rsidRDefault="00F0434A" w:rsidP="001C755E">
      <w:pPr>
        <w:rPr>
          <w:rFonts w:ascii="Arial" w:hAnsi="Arial" w:cs="Arial"/>
        </w:rPr>
      </w:pPr>
    </w:p>
    <w:p w14:paraId="0DE9DBFA" w14:textId="5FA8BE51" w:rsidR="00F0434A" w:rsidRDefault="00F0434A" w:rsidP="001C755E">
      <w:pPr>
        <w:rPr>
          <w:rFonts w:ascii="Arial" w:hAnsi="Arial" w:cs="Arial"/>
        </w:rPr>
      </w:pPr>
    </w:p>
    <w:p w14:paraId="679A019D" w14:textId="1A3CDC39" w:rsidR="00F0434A" w:rsidRDefault="00F0434A" w:rsidP="001C755E">
      <w:pPr>
        <w:rPr>
          <w:rFonts w:ascii="Arial" w:hAnsi="Arial" w:cs="Arial"/>
        </w:rPr>
      </w:pPr>
    </w:p>
    <w:p w14:paraId="2BD937AC" w14:textId="47398778" w:rsidR="00F0434A" w:rsidRDefault="00F0434A" w:rsidP="001C755E">
      <w:pPr>
        <w:rPr>
          <w:rFonts w:ascii="Arial" w:hAnsi="Arial" w:cs="Arial"/>
        </w:rPr>
      </w:pPr>
    </w:p>
    <w:p w14:paraId="050ED319" w14:textId="24C52B05" w:rsidR="00F0434A" w:rsidRDefault="00F0434A" w:rsidP="001C755E">
      <w:pPr>
        <w:rPr>
          <w:rFonts w:ascii="Arial" w:hAnsi="Arial" w:cs="Arial"/>
        </w:rPr>
      </w:pPr>
    </w:p>
    <w:p w14:paraId="3B10167D" w14:textId="733B91AC" w:rsidR="00F0434A" w:rsidRDefault="00F0434A" w:rsidP="001C755E">
      <w:pPr>
        <w:rPr>
          <w:rFonts w:ascii="Arial" w:hAnsi="Arial" w:cs="Arial"/>
        </w:rPr>
      </w:pPr>
    </w:p>
    <w:p w14:paraId="4F5072A3" w14:textId="5C4ABA7E" w:rsidR="00F0434A" w:rsidRDefault="00F0434A" w:rsidP="001C755E">
      <w:pPr>
        <w:rPr>
          <w:rFonts w:ascii="Arial" w:hAnsi="Arial" w:cs="Arial"/>
        </w:rPr>
      </w:pPr>
    </w:p>
    <w:p w14:paraId="39E16777" w14:textId="174B0518" w:rsidR="00F0434A" w:rsidRDefault="00F0434A" w:rsidP="001C755E">
      <w:pPr>
        <w:rPr>
          <w:rFonts w:ascii="Arial" w:hAnsi="Arial" w:cs="Arial"/>
        </w:rPr>
      </w:pPr>
    </w:p>
    <w:p w14:paraId="340F1A6C" w14:textId="42757D9F" w:rsidR="00F0434A" w:rsidRDefault="00F0434A" w:rsidP="001C755E">
      <w:pPr>
        <w:rPr>
          <w:rFonts w:ascii="Arial" w:hAnsi="Arial" w:cs="Arial"/>
        </w:rPr>
      </w:pPr>
    </w:p>
    <w:p w14:paraId="3061152E" w14:textId="77777777" w:rsidR="00F0434A" w:rsidRDefault="00F0434A" w:rsidP="001C755E">
      <w:pPr>
        <w:rPr>
          <w:rFonts w:ascii="Arial" w:hAnsi="Arial" w:cs="Arial"/>
        </w:rPr>
      </w:pPr>
    </w:p>
    <w:p w14:paraId="04D84E07" w14:textId="77777777" w:rsidR="001C755E" w:rsidRDefault="001C755E" w:rsidP="001C755E">
      <w:pPr>
        <w:rPr>
          <w:rFonts w:ascii="Arial" w:hAnsi="Arial" w:cs="Arial"/>
        </w:rPr>
      </w:pPr>
    </w:p>
    <w:p w14:paraId="29903FA8" w14:textId="77777777" w:rsidR="001C755E" w:rsidRDefault="001C755E" w:rsidP="001C755E">
      <w:pPr>
        <w:rPr>
          <w:rFonts w:ascii="Arial" w:hAnsi="Arial" w:cs="Arial"/>
        </w:rPr>
      </w:pPr>
    </w:p>
    <w:p w14:paraId="3B4E4839" w14:textId="5F062EB2" w:rsidR="001C755E" w:rsidRDefault="001C755E" w:rsidP="001C755E">
      <w:pPr>
        <w:rPr>
          <w:rFonts w:ascii="Arial" w:hAnsi="Arial" w:cs="Arial"/>
        </w:rPr>
      </w:pPr>
    </w:p>
    <w:p w14:paraId="0F699701" w14:textId="1FA5B2F7" w:rsidR="003B31BD" w:rsidRDefault="0078174F" w:rsidP="001C75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2CF6601" wp14:editId="6D14D595">
            <wp:extent cx="5943600" cy="2890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27 at 7.03.01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A8DE" w14:textId="77777777" w:rsidR="003B31BD" w:rsidRDefault="003B31BD" w:rsidP="001C755E">
      <w:pPr>
        <w:rPr>
          <w:rFonts w:ascii="Arial" w:hAnsi="Arial" w:cs="Arial"/>
        </w:rPr>
      </w:pPr>
    </w:p>
    <w:p w14:paraId="761BA380" w14:textId="2D7C81BD" w:rsidR="003B31BD" w:rsidRPr="0084576B" w:rsidRDefault="003B31BD" w:rsidP="003B31BD">
      <w:pPr>
        <w:rPr>
          <w:rFonts w:ascii="Arial" w:hAnsi="Arial" w:cs="Arial"/>
        </w:rPr>
      </w:pPr>
      <w:r w:rsidRPr="0084576B">
        <w:rPr>
          <w:rFonts w:ascii="Arial" w:hAnsi="Arial" w:cs="Arial"/>
        </w:rPr>
        <w:t>Supplemental Fig</w:t>
      </w:r>
      <w:r>
        <w:rPr>
          <w:rFonts w:ascii="Arial" w:hAnsi="Arial" w:cs="Arial"/>
        </w:rPr>
        <w:t>ure S5</w:t>
      </w:r>
      <w:r w:rsidRPr="0084576B">
        <w:rPr>
          <w:rFonts w:ascii="Arial" w:hAnsi="Arial" w:cs="Arial"/>
        </w:rPr>
        <w:t xml:space="preserve">. </w:t>
      </w:r>
      <w:r w:rsidR="006D3389">
        <w:rPr>
          <w:rFonts w:ascii="Arial" w:hAnsi="Arial" w:cs="Arial"/>
        </w:rPr>
        <w:t xml:space="preserve">Baseline </w:t>
      </w:r>
      <w:r w:rsidR="001772A7">
        <w:rPr>
          <w:rFonts w:ascii="Arial" w:hAnsi="Arial" w:cs="Arial"/>
        </w:rPr>
        <w:t xml:space="preserve">representative immunohistochemistry photomicrographs and quantification of </w:t>
      </w:r>
      <w:r w:rsidR="006D3389">
        <w:rPr>
          <w:rFonts w:ascii="Arial" w:hAnsi="Arial" w:cs="Arial"/>
        </w:rPr>
        <w:t xml:space="preserve">percentage of papilloma infiltrating CD8+ cells and total PD-L1+ cells. </w:t>
      </w:r>
      <w:r w:rsidR="001772A7">
        <w:rPr>
          <w:rFonts w:ascii="Arial" w:hAnsi="Arial" w:cs="Arial"/>
        </w:rPr>
        <w:t xml:space="preserve">Percentage of positive cells inset within photomicrographs. Quantification </w:t>
      </w:r>
      <w:r w:rsidR="00F71C9C">
        <w:rPr>
          <w:rFonts w:ascii="Arial" w:hAnsi="Arial" w:cs="Arial"/>
        </w:rPr>
        <w:t xml:space="preserve">of staining </w:t>
      </w:r>
      <w:r w:rsidR="00F71C9C">
        <w:rPr>
          <w:rFonts w:ascii="Arial" w:hAnsi="Arial" w:cs="Arial"/>
        </w:rPr>
        <w:t>in eleven of twelve patients with evaluable biopsies</w:t>
      </w:r>
      <w:r w:rsidR="006D3389">
        <w:rPr>
          <w:rFonts w:ascii="Arial" w:hAnsi="Arial" w:cs="Arial"/>
        </w:rPr>
        <w:t xml:space="preserve"> represent percentage of total cells in the entire section.  Assessed for statistical significance with the Mann-Whitney test. </w:t>
      </w:r>
    </w:p>
    <w:p w14:paraId="325DA888" w14:textId="77777777" w:rsidR="001C755E" w:rsidRDefault="001C755E" w:rsidP="001C755E">
      <w:pPr>
        <w:rPr>
          <w:rFonts w:ascii="Arial" w:hAnsi="Arial" w:cs="Arial"/>
        </w:rPr>
      </w:pPr>
    </w:p>
    <w:p w14:paraId="6D6A5A55" w14:textId="77777777" w:rsidR="001C755E" w:rsidRDefault="001C755E" w:rsidP="001C755E">
      <w:pPr>
        <w:rPr>
          <w:rFonts w:ascii="Arial" w:hAnsi="Arial" w:cs="Arial"/>
        </w:rPr>
      </w:pPr>
    </w:p>
    <w:p w14:paraId="564DE2B0" w14:textId="77777777" w:rsidR="001C755E" w:rsidRDefault="001C755E" w:rsidP="001C755E">
      <w:pPr>
        <w:rPr>
          <w:rFonts w:ascii="Arial" w:hAnsi="Arial" w:cs="Arial"/>
        </w:rPr>
      </w:pPr>
    </w:p>
    <w:p w14:paraId="2DFA52C8" w14:textId="77777777" w:rsidR="001C755E" w:rsidRDefault="001C755E" w:rsidP="001C755E">
      <w:pPr>
        <w:rPr>
          <w:rFonts w:ascii="Arial" w:hAnsi="Arial" w:cs="Arial"/>
        </w:rPr>
      </w:pPr>
    </w:p>
    <w:p w14:paraId="6A5BEC67" w14:textId="77777777" w:rsidR="001C755E" w:rsidRDefault="001C755E" w:rsidP="001C755E">
      <w:pPr>
        <w:rPr>
          <w:rFonts w:ascii="Arial" w:hAnsi="Arial" w:cs="Arial"/>
        </w:rPr>
      </w:pPr>
    </w:p>
    <w:p w14:paraId="1D4D679D" w14:textId="77777777" w:rsidR="001C755E" w:rsidRDefault="001C755E" w:rsidP="001C755E">
      <w:pPr>
        <w:rPr>
          <w:rFonts w:ascii="Arial" w:hAnsi="Arial" w:cs="Arial"/>
        </w:rPr>
      </w:pPr>
    </w:p>
    <w:p w14:paraId="58E7168D" w14:textId="77777777" w:rsidR="001C755E" w:rsidRDefault="001C755E" w:rsidP="001C755E">
      <w:pPr>
        <w:rPr>
          <w:rFonts w:ascii="Arial" w:hAnsi="Arial" w:cs="Arial"/>
        </w:rPr>
      </w:pPr>
    </w:p>
    <w:p w14:paraId="57CD04A7" w14:textId="77777777" w:rsidR="001C755E" w:rsidRDefault="001C755E" w:rsidP="001C755E">
      <w:pPr>
        <w:rPr>
          <w:rFonts w:ascii="Arial" w:hAnsi="Arial" w:cs="Arial"/>
        </w:rPr>
      </w:pPr>
    </w:p>
    <w:p w14:paraId="5E7F175D" w14:textId="77777777" w:rsidR="001C755E" w:rsidRDefault="001C755E" w:rsidP="001C755E">
      <w:pPr>
        <w:rPr>
          <w:rFonts w:ascii="Arial" w:hAnsi="Arial" w:cs="Arial"/>
        </w:rPr>
      </w:pPr>
    </w:p>
    <w:p w14:paraId="1E8AC801" w14:textId="77777777" w:rsidR="001C755E" w:rsidRDefault="001C755E" w:rsidP="001C755E">
      <w:pPr>
        <w:rPr>
          <w:rFonts w:ascii="Arial" w:hAnsi="Arial" w:cs="Arial"/>
        </w:rPr>
      </w:pPr>
    </w:p>
    <w:p w14:paraId="00F4980A" w14:textId="77777777" w:rsidR="001C755E" w:rsidRDefault="001C755E" w:rsidP="001C755E">
      <w:pPr>
        <w:rPr>
          <w:rFonts w:ascii="Arial" w:hAnsi="Arial" w:cs="Arial"/>
        </w:rPr>
      </w:pPr>
    </w:p>
    <w:p w14:paraId="459373EA" w14:textId="77777777" w:rsidR="001C755E" w:rsidRDefault="001C755E" w:rsidP="001C755E">
      <w:pPr>
        <w:rPr>
          <w:rFonts w:ascii="Arial" w:hAnsi="Arial" w:cs="Arial"/>
        </w:rPr>
      </w:pPr>
    </w:p>
    <w:p w14:paraId="64ACA498" w14:textId="77777777" w:rsidR="001C755E" w:rsidRDefault="001C755E" w:rsidP="001C755E">
      <w:pPr>
        <w:rPr>
          <w:rFonts w:ascii="Arial" w:hAnsi="Arial" w:cs="Arial"/>
        </w:rPr>
      </w:pPr>
    </w:p>
    <w:p w14:paraId="1F561D4D" w14:textId="77777777" w:rsidR="001C755E" w:rsidRDefault="001C755E" w:rsidP="001C755E">
      <w:pPr>
        <w:rPr>
          <w:rFonts w:ascii="Arial" w:hAnsi="Arial" w:cs="Arial"/>
        </w:rPr>
      </w:pPr>
    </w:p>
    <w:p w14:paraId="60FC6D89" w14:textId="77777777" w:rsidR="001C755E" w:rsidRDefault="001C755E" w:rsidP="001C755E">
      <w:pPr>
        <w:rPr>
          <w:rFonts w:ascii="Arial" w:hAnsi="Arial" w:cs="Arial"/>
        </w:rPr>
      </w:pPr>
    </w:p>
    <w:p w14:paraId="453D2BD4" w14:textId="77777777" w:rsidR="001C755E" w:rsidRDefault="001C755E" w:rsidP="001C755E">
      <w:pPr>
        <w:rPr>
          <w:rFonts w:ascii="Arial" w:hAnsi="Arial" w:cs="Arial"/>
        </w:rPr>
      </w:pPr>
    </w:p>
    <w:p w14:paraId="34DEE942" w14:textId="77777777" w:rsidR="001C755E" w:rsidRDefault="001C755E" w:rsidP="001C755E">
      <w:pPr>
        <w:rPr>
          <w:rFonts w:ascii="Arial" w:hAnsi="Arial" w:cs="Arial"/>
        </w:rPr>
      </w:pPr>
    </w:p>
    <w:p w14:paraId="3BC0BD8B" w14:textId="77777777" w:rsidR="001C755E" w:rsidRDefault="001C755E" w:rsidP="001C755E">
      <w:pPr>
        <w:rPr>
          <w:rFonts w:ascii="Arial" w:hAnsi="Arial" w:cs="Arial"/>
        </w:rPr>
      </w:pPr>
    </w:p>
    <w:p w14:paraId="2C470F9A" w14:textId="77777777" w:rsidR="001C755E" w:rsidRDefault="001C755E" w:rsidP="001C755E">
      <w:pPr>
        <w:rPr>
          <w:rFonts w:ascii="Arial" w:hAnsi="Arial" w:cs="Arial"/>
        </w:rPr>
      </w:pPr>
      <w:bookmarkStart w:id="0" w:name="_GoBack"/>
      <w:bookmarkEnd w:id="0"/>
    </w:p>
    <w:p w14:paraId="334A3E79" w14:textId="77777777" w:rsidR="001C755E" w:rsidRDefault="001C755E" w:rsidP="001C755E">
      <w:pPr>
        <w:rPr>
          <w:rFonts w:ascii="Arial" w:hAnsi="Arial" w:cs="Arial"/>
        </w:rPr>
      </w:pPr>
    </w:p>
    <w:p w14:paraId="65D63FBF" w14:textId="77777777" w:rsidR="001C755E" w:rsidRDefault="001C755E" w:rsidP="001C755E">
      <w:pPr>
        <w:rPr>
          <w:rFonts w:ascii="Arial" w:hAnsi="Arial" w:cs="Arial"/>
        </w:rPr>
      </w:pPr>
    </w:p>
    <w:p w14:paraId="4494A635" w14:textId="77777777" w:rsidR="001C755E" w:rsidRDefault="001C755E" w:rsidP="001C755E">
      <w:pPr>
        <w:rPr>
          <w:rFonts w:ascii="Arial" w:hAnsi="Arial" w:cs="Arial"/>
        </w:rPr>
      </w:pPr>
    </w:p>
    <w:p w14:paraId="786F061D" w14:textId="77777777" w:rsidR="001C755E" w:rsidRDefault="001C755E" w:rsidP="001C755E">
      <w:pPr>
        <w:rPr>
          <w:rFonts w:ascii="Arial" w:hAnsi="Arial" w:cs="Arial"/>
        </w:rPr>
      </w:pPr>
    </w:p>
    <w:p w14:paraId="757DA478" w14:textId="421B2789" w:rsidR="001C755E" w:rsidRDefault="001C755E" w:rsidP="001C75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C89288" wp14:editId="7F129AA9">
            <wp:extent cx="5943600" cy="454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4D8B" w14:textId="77777777" w:rsidR="001C755E" w:rsidRDefault="001C755E" w:rsidP="001C755E">
      <w:pPr>
        <w:rPr>
          <w:rFonts w:ascii="Arial" w:hAnsi="Arial" w:cs="Arial"/>
        </w:rPr>
      </w:pPr>
    </w:p>
    <w:p w14:paraId="762D6616" w14:textId="3E217103" w:rsidR="001C755E" w:rsidRPr="0084576B" w:rsidRDefault="001C755E" w:rsidP="001C755E">
      <w:pPr>
        <w:rPr>
          <w:rFonts w:ascii="Arial" w:hAnsi="Arial" w:cs="Arial"/>
        </w:rPr>
      </w:pPr>
      <w:r w:rsidRPr="0084576B">
        <w:rPr>
          <w:rFonts w:ascii="Arial" w:hAnsi="Arial" w:cs="Arial"/>
        </w:rPr>
        <w:t>Supplemental Fig</w:t>
      </w:r>
      <w:r w:rsidR="001238A7">
        <w:rPr>
          <w:rFonts w:ascii="Arial" w:hAnsi="Arial" w:cs="Arial"/>
        </w:rPr>
        <w:t>ure</w:t>
      </w:r>
      <w:r w:rsidRPr="0084576B">
        <w:rPr>
          <w:rFonts w:ascii="Arial" w:hAnsi="Arial" w:cs="Arial"/>
        </w:rPr>
        <w:t xml:space="preserve"> </w:t>
      </w:r>
      <w:r w:rsidR="001238A7">
        <w:rPr>
          <w:rFonts w:ascii="Arial" w:hAnsi="Arial" w:cs="Arial"/>
        </w:rPr>
        <w:t>S</w:t>
      </w:r>
      <w:r w:rsidR="003B31BD">
        <w:rPr>
          <w:rFonts w:ascii="Arial" w:hAnsi="Arial" w:cs="Arial"/>
        </w:rPr>
        <w:t>6</w:t>
      </w:r>
      <w:r w:rsidRPr="0084576B">
        <w:rPr>
          <w:rFonts w:ascii="Arial" w:hAnsi="Arial" w:cs="Arial"/>
        </w:rPr>
        <w:t>. Gene expression profiling of papillomas and normal tissue. A heatmap demonstrating unsupervised hierarchical clustering of expression of individual genes or gene signatures is shown. Gene expression was measured by NanoString IO 360 analysis in pre-treatment (pre), on-treatment (2wk) and post-treatment (off) papilloma and normal mucosa biopsies. Each horizontal row represents a separate biopsy. Each unit increase of expression on the heatmap scale is a doubling of the biologic process it represents. The red box highlights differences in TGF</w:t>
      </w:r>
      <w:r w:rsidRPr="0084576B">
        <w:rPr>
          <w:rFonts w:ascii="Arial" w:hAnsi="Arial" w:cs="Arial"/>
        </w:rPr>
        <w:sym w:font="Symbol" w:char="F062"/>
      </w:r>
      <w:r w:rsidRPr="0084576B">
        <w:rPr>
          <w:rFonts w:ascii="Arial" w:hAnsi="Arial" w:cs="Arial"/>
        </w:rPr>
        <w:t xml:space="preserve"> gene expression between papilloma and normal mucosa biopsies. </w:t>
      </w:r>
    </w:p>
    <w:p w14:paraId="6885CF61" w14:textId="77777777" w:rsidR="001C755E" w:rsidRDefault="001C755E"/>
    <w:sectPr w:rsidR="001C755E" w:rsidSect="00872EE9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8FA58" w14:textId="77777777" w:rsidR="00120481" w:rsidRDefault="00120481" w:rsidP="00F0434A">
      <w:r>
        <w:separator/>
      </w:r>
    </w:p>
  </w:endnote>
  <w:endnote w:type="continuationSeparator" w:id="0">
    <w:p w14:paraId="7C7DDBDF" w14:textId="77777777" w:rsidR="00120481" w:rsidRDefault="00120481" w:rsidP="00F04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89463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551D99" w14:textId="1EF1F2CB" w:rsidR="00F0434A" w:rsidRDefault="00F0434A" w:rsidP="00762F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1853D7" w14:textId="77777777" w:rsidR="00F0434A" w:rsidRDefault="00F0434A" w:rsidP="00F043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4185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2C6377" w14:textId="78A2A960" w:rsidR="00F0434A" w:rsidRDefault="00F0434A" w:rsidP="00762F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79D6A6" w14:textId="77777777" w:rsidR="00F0434A" w:rsidRDefault="00F0434A" w:rsidP="00F0434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60287" w14:textId="77777777" w:rsidR="00120481" w:rsidRDefault="00120481" w:rsidP="00F0434A">
      <w:r>
        <w:separator/>
      </w:r>
    </w:p>
  </w:footnote>
  <w:footnote w:type="continuationSeparator" w:id="0">
    <w:p w14:paraId="7EEE8C2A" w14:textId="77777777" w:rsidR="00120481" w:rsidRDefault="00120481" w:rsidP="00F04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55E"/>
    <w:rsid w:val="000007C4"/>
    <w:rsid w:val="00005909"/>
    <w:rsid w:val="000160DC"/>
    <w:rsid w:val="00020535"/>
    <w:rsid w:val="0003191A"/>
    <w:rsid w:val="00033FED"/>
    <w:rsid w:val="00034BF3"/>
    <w:rsid w:val="00051CD4"/>
    <w:rsid w:val="00065177"/>
    <w:rsid w:val="00065B85"/>
    <w:rsid w:val="000718F9"/>
    <w:rsid w:val="00095A1F"/>
    <w:rsid w:val="000B0CE5"/>
    <w:rsid w:val="000B253B"/>
    <w:rsid w:val="000D5E93"/>
    <w:rsid w:val="00100BE9"/>
    <w:rsid w:val="001136D5"/>
    <w:rsid w:val="00120481"/>
    <w:rsid w:val="0012071E"/>
    <w:rsid w:val="0012175F"/>
    <w:rsid w:val="00122E30"/>
    <w:rsid w:val="001238A7"/>
    <w:rsid w:val="00135C70"/>
    <w:rsid w:val="00136716"/>
    <w:rsid w:val="00147FB9"/>
    <w:rsid w:val="001510B1"/>
    <w:rsid w:val="00162D83"/>
    <w:rsid w:val="00166A72"/>
    <w:rsid w:val="001761CC"/>
    <w:rsid w:val="001772A7"/>
    <w:rsid w:val="00184D0A"/>
    <w:rsid w:val="001923AF"/>
    <w:rsid w:val="001A6E13"/>
    <w:rsid w:val="001B5EDD"/>
    <w:rsid w:val="001C262A"/>
    <w:rsid w:val="001C755E"/>
    <w:rsid w:val="001D0FAD"/>
    <w:rsid w:val="001E4268"/>
    <w:rsid w:val="00210CC3"/>
    <w:rsid w:val="00223959"/>
    <w:rsid w:val="00254719"/>
    <w:rsid w:val="00272194"/>
    <w:rsid w:val="00272DD2"/>
    <w:rsid w:val="002847F7"/>
    <w:rsid w:val="0029585F"/>
    <w:rsid w:val="002A0DCE"/>
    <w:rsid w:val="002C2A67"/>
    <w:rsid w:val="002C7299"/>
    <w:rsid w:val="002E23E0"/>
    <w:rsid w:val="002E5D09"/>
    <w:rsid w:val="003243EA"/>
    <w:rsid w:val="0033294B"/>
    <w:rsid w:val="0035693B"/>
    <w:rsid w:val="003653DD"/>
    <w:rsid w:val="00366EC7"/>
    <w:rsid w:val="0037276F"/>
    <w:rsid w:val="00396C67"/>
    <w:rsid w:val="003B31BD"/>
    <w:rsid w:val="00424242"/>
    <w:rsid w:val="00441CC9"/>
    <w:rsid w:val="00465D5B"/>
    <w:rsid w:val="004777FA"/>
    <w:rsid w:val="00482414"/>
    <w:rsid w:val="004C477A"/>
    <w:rsid w:val="004C7190"/>
    <w:rsid w:val="0051653F"/>
    <w:rsid w:val="00517CA8"/>
    <w:rsid w:val="005400F8"/>
    <w:rsid w:val="00545397"/>
    <w:rsid w:val="00552FF9"/>
    <w:rsid w:val="00563CC3"/>
    <w:rsid w:val="00576ABF"/>
    <w:rsid w:val="00585E59"/>
    <w:rsid w:val="005A7FAB"/>
    <w:rsid w:val="005E442E"/>
    <w:rsid w:val="005F19B6"/>
    <w:rsid w:val="005F20FF"/>
    <w:rsid w:val="00613103"/>
    <w:rsid w:val="00675DCF"/>
    <w:rsid w:val="006900C8"/>
    <w:rsid w:val="006A57D7"/>
    <w:rsid w:val="006A5F2E"/>
    <w:rsid w:val="006D3389"/>
    <w:rsid w:val="006E53C5"/>
    <w:rsid w:val="0070132D"/>
    <w:rsid w:val="007258D3"/>
    <w:rsid w:val="0073777C"/>
    <w:rsid w:val="0075794D"/>
    <w:rsid w:val="0078174F"/>
    <w:rsid w:val="007B7D27"/>
    <w:rsid w:val="007E115C"/>
    <w:rsid w:val="007E1B84"/>
    <w:rsid w:val="007E3E07"/>
    <w:rsid w:val="007E6E2D"/>
    <w:rsid w:val="00802A6D"/>
    <w:rsid w:val="00815570"/>
    <w:rsid w:val="00840A75"/>
    <w:rsid w:val="008449E7"/>
    <w:rsid w:val="0086613C"/>
    <w:rsid w:val="00872EE9"/>
    <w:rsid w:val="00875D70"/>
    <w:rsid w:val="00896319"/>
    <w:rsid w:val="008D408F"/>
    <w:rsid w:val="008E6DF1"/>
    <w:rsid w:val="008F131C"/>
    <w:rsid w:val="008F1EDC"/>
    <w:rsid w:val="00900C37"/>
    <w:rsid w:val="009176DA"/>
    <w:rsid w:val="0095793C"/>
    <w:rsid w:val="009A79D4"/>
    <w:rsid w:val="009D552D"/>
    <w:rsid w:val="009D7845"/>
    <w:rsid w:val="009F30AE"/>
    <w:rsid w:val="00A55A66"/>
    <w:rsid w:val="00A92C3D"/>
    <w:rsid w:val="00AA0E3B"/>
    <w:rsid w:val="00AC1AFB"/>
    <w:rsid w:val="00AF2376"/>
    <w:rsid w:val="00B01671"/>
    <w:rsid w:val="00B02565"/>
    <w:rsid w:val="00B057CF"/>
    <w:rsid w:val="00B10E90"/>
    <w:rsid w:val="00B11186"/>
    <w:rsid w:val="00B602CD"/>
    <w:rsid w:val="00B61A85"/>
    <w:rsid w:val="00B679A6"/>
    <w:rsid w:val="00B715B7"/>
    <w:rsid w:val="00B81CBE"/>
    <w:rsid w:val="00B8677B"/>
    <w:rsid w:val="00B96B70"/>
    <w:rsid w:val="00BB14D6"/>
    <w:rsid w:val="00BC7279"/>
    <w:rsid w:val="00BD35F4"/>
    <w:rsid w:val="00BF1127"/>
    <w:rsid w:val="00C32626"/>
    <w:rsid w:val="00C57AB4"/>
    <w:rsid w:val="00CB1495"/>
    <w:rsid w:val="00CB41B6"/>
    <w:rsid w:val="00CD36BC"/>
    <w:rsid w:val="00CE1932"/>
    <w:rsid w:val="00CF2CF0"/>
    <w:rsid w:val="00CF774C"/>
    <w:rsid w:val="00D1436B"/>
    <w:rsid w:val="00D3586F"/>
    <w:rsid w:val="00D408A4"/>
    <w:rsid w:val="00D410C2"/>
    <w:rsid w:val="00D53C9D"/>
    <w:rsid w:val="00D75B2A"/>
    <w:rsid w:val="00DD1089"/>
    <w:rsid w:val="00DD40DD"/>
    <w:rsid w:val="00DE1604"/>
    <w:rsid w:val="00E034C5"/>
    <w:rsid w:val="00E13DB6"/>
    <w:rsid w:val="00E16803"/>
    <w:rsid w:val="00E21375"/>
    <w:rsid w:val="00E479AB"/>
    <w:rsid w:val="00E909F7"/>
    <w:rsid w:val="00EA6DD2"/>
    <w:rsid w:val="00EA7933"/>
    <w:rsid w:val="00EB40F7"/>
    <w:rsid w:val="00EC07DF"/>
    <w:rsid w:val="00EC2EB9"/>
    <w:rsid w:val="00ED63F1"/>
    <w:rsid w:val="00EE3E22"/>
    <w:rsid w:val="00F028AF"/>
    <w:rsid w:val="00F0434A"/>
    <w:rsid w:val="00F5177B"/>
    <w:rsid w:val="00F71C9C"/>
    <w:rsid w:val="00F77467"/>
    <w:rsid w:val="00F81955"/>
    <w:rsid w:val="00F87738"/>
    <w:rsid w:val="00F92C8D"/>
    <w:rsid w:val="00FD131E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C016CB"/>
  <w15:chartTrackingRefBased/>
  <w15:docId w15:val="{4E95ABBE-5AA8-2349-A3AE-719E3FA8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8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8A7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043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34A"/>
  </w:style>
  <w:style w:type="character" w:styleId="PageNumber">
    <w:name w:val="page number"/>
    <w:basedOn w:val="DefaultParagraphFont"/>
    <w:uiPriority w:val="99"/>
    <w:semiHidden/>
    <w:unhideWhenUsed/>
    <w:rsid w:val="00F04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Clint (NIH/NIDCD) [C]</dc:creator>
  <cp:keywords/>
  <dc:description/>
  <cp:lastModifiedBy>Allen, Clint (NIH/NIDCD) [C]</cp:lastModifiedBy>
  <cp:revision>22</cp:revision>
  <dcterms:created xsi:type="dcterms:W3CDTF">2018-12-17T21:56:00Z</dcterms:created>
  <dcterms:modified xsi:type="dcterms:W3CDTF">2019-03-27T11:05:00Z</dcterms:modified>
</cp:coreProperties>
</file>