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4BB1" w14:textId="7845A649" w:rsidR="0060537E" w:rsidRPr="006E3FEF" w:rsidRDefault="004B79BA" w:rsidP="00664F88">
      <w:pPr>
        <w:spacing w:line="480" w:lineRule="auto"/>
        <w:jc w:val="both"/>
        <w:rPr>
          <w:noProof/>
        </w:rPr>
      </w:pPr>
      <w:r w:rsidRPr="006E3FEF">
        <w:rPr>
          <w:noProof/>
        </w:rPr>
        <w:t xml:space="preserve">Additional </w:t>
      </w:r>
      <w:r w:rsidR="006E3FEF" w:rsidRPr="006E3FEF">
        <w:rPr>
          <w:noProof/>
        </w:rPr>
        <w:t xml:space="preserve">file </w:t>
      </w:r>
      <w:r w:rsidRPr="006E3FEF">
        <w:rPr>
          <w:noProof/>
        </w:rPr>
        <w:t>1</w:t>
      </w:r>
      <w:r w:rsidR="006E3FEF">
        <w:rPr>
          <w:b/>
          <w:noProof/>
        </w:rPr>
        <w:t xml:space="preserve"> </w:t>
      </w:r>
      <w:r w:rsidR="00664F88" w:rsidRPr="006E3FEF">
        <w:rPr>
          <w:noProof/>
        </w:rPr>
        <w:t>Supplemen</w:t>
      </w:r>
      <w:bookmarkStart w:id="0" w:name="_GoBack"/>
      <w:bookmarkEnd w:id="0"/>
      <w:r w:rsidR="00664F88" w:rsidRPr="006E3FEF">
        <w:rPr>
          <w:noProof/>
        </w:rPr>
        <w:t xml:space="preserve">tary </w:t>
      </w:r>
      <w:r w:rsidR="0060537E" w:rsidRPr="006E3FEF">
        <w:rPr>
          <w:noProof/>
        </w:rPr>
        <w:t>Methods</w:t>
      </w:r>
    </w:p>
    <w:p w14:paraId="71F95C47" w14:textId="77777777" w:rsidR="0060537E" w:rsidRDefault="0060537E" w:rsidP="00664F88">
      <w:pPr>
        <w:spacing w:line="480" w:lineRule="auto"/>
        <w:jc w:val="both"/>
        <w:rPr>
          <w:b/>
          <w:noProof/>
        </w:rPr>
      </w:pPr>
    </w:p>
    <w:p w14:paraId="357ECF8B" w14:textId="77777777" w:rsidR="0060537E" w:rsidRPr="00C26D67" w:rsidRDefault="0060537E" w:rsidP="0060537E">
      <w:pPr>
        <w:spacing w:line="480" w:lineRule="auto"/>
        <w:jc w:val="both"/>
        <w:outlineLvl w:val="0"/>
        <w:rPr>
          <w:b/>
        </w:rPr>
      </w:pPr>
      <w:r w:rsidRPr="00C26D67">
        <w:rPr>
          <w:b/>
        </w:rPr>
        <w:t>Vessel Density by CD34 Staining on Cerebral Metastatic Melanoma Samples</w:t>
      </w:r>
    </w:p>
    <w:p w14:paraId="03B67466" w14:textId="77777777" w:rsidR="0060537E" w:rsidRPr="00C26D67" w:rsidRDefault="0060537E" w:rsidP="0060537E">
      <w:pPr>
        <w:spacing w:line="480" w:lineRule="auto"/>
        <w:jc w:val="both"/>
      </w:pPr>
      <w:r w:rsidRPr="00C26D67">
        <w:t>All tissue underwent formal central review by a pathologist who identified representative tumor regions for inclusion and excluded areas of necrosis or hemorrhage.  Three 0.6mm cores from each tumor in 5μm sections were subjected to de-paraffinization, sodium citrate antigen retrieval, and incubation with primary antibody diluted 1:50 in 0.3% BSA/1X TBS overnight at 4°C followed by</w:t>
      </w:r>
      <w:r>
        <w:t xml:space="preserve"> an</w:t>
      </w:r>
      <w:r w:rsidRPr="00C26D67">
        <w:t xml:space="preserve"> anti-mouse horseradish peroxidase polymer backbone (Envision, </w:t>
      </w:r>
      <w:proofErr w:type="spellStart"/>
      <w:r w:rsidRPr="00C26D67">
        <w:t>Dako</w:t>
      </w:r>
      <w:proofErr w:type="spellEnd"/>
      <w:r w:rsidRPr="00C26D67">
        <w:t xml:space="preserve">), and Cy5-tyramide (PerkinElmer Life Science Products).  The tumor mask was generated using rabbit S100 (1:100 dilution, </w:t>
      </w:r>
      <w:proofErr w:type="spellStart"/>
      <w:r w:rsidRPr="00C26D67">
        <w:t>Dako</w:t>
      </w:r>
      <w:proofErr w:type="spellEnd"/>
      <w:r w:rsidRPr="00C26D67">
        <w:t xml:space="preserve">) to identify melanoma cells followed by anti-rabbit secondary goat IgG conjugated to Alexa-546 (Molecular Probes).  Slides were mounted with </w:t>
      </w:r>
      <w:proofErr w:type="spellStart"/>
      <w:r w:rsidRPr="00C26D67">
        <w:t>ProLong</w:t>
      </w:r>
      <w:proofErr w:type="spellEnd"/>
      <w:r w:rsidRPr="00C26D67">
        <w:t xml:space="preserve"> Gold containing 4′,6-Diamidino-2-phenylindole (DAPI</w:t>
      </w:r>
      <w:r>
        <w:t>,</w:t>
      </w:r>
      <w:r w:rsidRPr="00C26D67">
        <w:t xml:space="preserve"> Invitrogen) to permit nuclei visualization.  Micro-vessel density scores were calculated by dividing the area of CD34, Cy5 positivity by the </w:t>
      </w:r>
      <w:proofErr w:type="spellStart"/>
      <w:r w:rsidRPr="00C26D67">
        <w:t>histospot</w:t>
      </w:r>
      <w:proofErr w:type="spellEnd"/>
      <w:r w:rsidRPr="00C26D67">
        <w:t xml:space="preserve"> area.  Core tissue containing &lt;3% of tumor was excluded from analysis.</w:t>
      </w:r>
    </w:p>
    <w:p w14:paraId="2D808229" w14:textId="6930534C" w:rsidR="0060537E" w:rsidRDefault="0060537E" w:rsidP="00664F88">
      <w:pPr>
        <w:spacing w:line="480" w:lineRule="auto"/>
        <w:jc w:val="both"/>
        <w:rPr>
          <w:b/>
          <w:noProof/>
        </w:rPr>
      </w:pPr>
    </w:p>
    <w:p w14:paraId="06DA03EE" w14:textId="77777777" w:rsidR="0060537E" w:rsidRPr="00C26D67" w:rsidRDefault="0060537E" w:rsidP="0060537E">
      <w:pPr>
        <w:spacing w:line="480" w:lineRule="auto"/>
        <w:jc w:val="both"/>
        <w:outlineLvl w:val="0"/>
        <w:rPr>
          <w:b/>
        </w:rPr>
      </w:pPr>
      <w:r w:rsidRPr="00C26D67">
        <w:rPr>
          <w:b/>
          <w:i/>
        </w:rPr>
        <w:t>In vitro</w:t>
      </w:r>
      <w:r w:rsidRPr="00C26D67">
        <w:rPr>
          <w:b/>
        </w:rPr>
        <w:t xml:space="preserve"> Blood-Brain Barrier Assay</w:t>
      </w:r>
    </w:p>
    <w:p w14:paraId="61B8720B" w14:textId="4C02F0EF" w:rsidR="006877AD" w:rsidRPr="00BC6DEC" w:rsidRDefault="00BC0E61" w:rsidP="00664F88">
      <w:pPr>
        <w:spacing w:line="480" w:lineRule="auto"/>
        <w:jc w:val="both"/>
        <w:rPr>
          <w:b/>
          <w:noProof/>
        </w:rPr>
      </w:pPr>
      <w:r w:rsidRPr="00C26D67">
        <w:t xml:space="preserve">Melanoma cells were grown in Opti-MEM I (Gibco) supplemented with 5% heat-inactivated fetal bovine serum (Sigma) and 1% antibiotic-antimycotic 100X (Gibco).  </w:t>
      </w:r>
      <w:r w:rsidR="0060537E">
        <w:t>5x10</w:t>
      </w:r>
      <w:r w:rsidR="0060537E">
        <w:rPr>
          <w:vertAlign w:val="superscript"/>
        </w:rPr>
        <w:t>4</w:t>
      </w:r>
      <w:r w:rsidR="0060537E" w:rsidRPr="00C26D67">
        <w:t xml:space="preserve"> HUVEC</w:t>
      </w:r>
      <w:r w:rsidR="0060537E">
        <w:t xml:space="preserve">s </w:t>
      </w:r>
      <w:r w:rsidR="0060537E" w:rsidRPr="00C26D67">
        <w:t>were co-cultured with 10</w:t>
      </w:r>
      <w:r w:rsidR="0060537E" w:rsidRPr="00C26D67">
        <w:rPr>
          <w:vertAlign w:val="superscript"/>
        </w:rPr>
        <w:t>5</w:t>
      </w:r>
      <w:r w:rsidR="0060537E" w:rsidRPr="00C26D67">
        <w:t xml:space="preserve"> primary human astrocytes on the apical and basal membranes, respectively, of 3µm pore PET tissue culture inserts (Fisher) which had been previously coated for 30 minutes with 0.2% gelatin on the apical membrane (Sigma) and overnight with 1µg mL</w:t>
      </w:r>
      <w:r w:rsidR="0060537E" w:rsidRPr="00C26D67">
        <w:rPr>
          <w:vertAlign w:val="superscript"/>
        </w:rPr>
        <w:t xml:space="preserve">-1 </w:t>
      </w:r>
      <w:proofErr w:type="spellStart"/>
      <w:r w:rsidR="0060537E" w:rsidRPr="00C26D67">
        <w:t>polylysine</w:t>
      </w:r>
      <w:proofErr w:type="spellEnd"/>
      <w:r w:rsidR="0060537E" w:rsidRPr="00C26D67">
        <w:t xml:space="preserve"> on the basal membrane (</w:t>
      </w:r>
      <w:proofErr w:type="spellStart"/>
      <w:r w:rsidR="0060537E" w:rsidRPr="00C26D67">
        <w:t>ScienCell</w:t>
      </w:r>
      <w:proofErr w:type="spellEnd"/>
      <w:r w:rsidR="0060537E" w:rsidRPr="00C26D67">
        <w:t>)</w:t>
      </w:r>
      <w:r w:rsidR="0060537E">
        <w:t>.</w:t>
      </w:r>
      <w:r w:rsidR="0060537E" w:rsidRPr="00C26D67">
        <w:t xml:space="preserve">  </w:t>
      </w:r>
      <w:proofErr w:type="spellStart"/>
      <w:r w:rsidR="0060537E" w:rsidRPr="00C26D67">
        <w:t>Transwells</w:t>
      </w:r>
      <w:proofErr w:type="spellEnd"/>
      <w:r w:rsidR="0060537E" w:rsidRPr="00C26D67">
        <w:t xml:space="preserve"> were co-cultured for 3 days in phenol-red free endothelial cell medium (</w:t>
      </w:r>
      <w:proofErr w:type="spellStart"/>
      <w:r w:rsidR="0060537E" w:rsidRPr="00C26D67">
        <w:t>ScienCell</w:t>
      </w:r>
      <w:proofErr w:type="spellEnd"/>
      <w:r w:rsidR="0060537E" w:rsidRPr="00C26D67">
        <w:t xml:space="preserve">) followed by </w:t>
      </w:r>
      <w:proofErr w:type="spellStart"/>
      <w:r w:rsidR="0060537E" w:rsidRPr="00C26D67">
        <w:t>transendothelial</w:t>
      </w:r>
      <w:proofErr w:type="spellEnd"/>
      <w:r w:rsidR="0060537E" w:rsidRPr="00C26D67">
        <w:t xml:space="preserve"> electrical resistance (TEER) </w:t>
      </w:r>
      <w:r w:rsidR="0060537E" w:rsidRPr="00C26D67">
        <w:lastRenderedPageBreak/>
        <w:t>measurement using STX2 chopstick electrodes attached to an EVOM</w:t>
      </w:r>
      <w:r w:rsidR="0060537E" w:rsidRPr="00C26D67">
        <w:rPr>
          <w:vertAlign w:val="superscript"/>
        </w:rPr>
        <w:t>2</w:t>
      </w:r>
      <w:r w:rsidR="0060537E" w:rsidRPr="00C26D67">
        <w:t xml:space="preserve"> meter (World Precision Instruments).  Subsequently, </w:t>
      </w:r>
      <w:r w:rsidR="0060537E">
        <w:t>5x10</w:t>
      </w:r>
      <w:r w:rsidR="0060537E">
        <w:rPr>
          <w:vertAlign w:val="superscript"/>
        </w:rPr>
        <w:t>4</w:t>
      </w:r>
      <w:r w:rsidR="0060537E" w:rsidRPr="00C26D67">
        <w:t xml:space="preserve"> melanoma cells were added to the apical membrane, and TEER was remeasured after 24 hours.  Controls included HUVEC/astrocyte co-cultures without melanoma cells (CTRL), insert alone, and HUVEC/astrocyte co-cultures with murine fibroblast 3T3/J2 cells (</w:t>
      </w:r>
      <w:proofErr w:type="spellStart"/>
      <w:r w:rsidR="0060537E" w:rsidRPr="00C26D67">
        <w:t>Kerafast</w:t>
      </w:r>
      <w:proofErr w:type="spellEnd"/>
      <w:r w:rsidR="0060537E" w:rsidRPr="00C26D67">
        <w:t xml:space="preserve">) or human embryonic kidney 293T cells (ATCC).  Corrected TEER values were calculated by subtracting the average TEER of coated inserts without cells from the TEER of experimental samples; this value was then subtracted from the baseline TEER measured on the same </w:t>
      </w:r>
      <w:proofErr w:type="spellStart"/>
      <w:r w:rsidR="0060537E" w:rsidRPr="00C26D67">
        <w:t>transwell</w:t>
      </w:r>
      <w:proofErr w:type="spellEnd"/>
      <w:r w:rsidR="0060537E" w:rsidRPr="00C26D67">
        <w:t xml:space="preserve"> immediately prior to addition of melanoma cells.  Finally, all values were normalized to CTRL for graphical presentation.  </w:t>
      </w:r>
      <w:r w:rsidR="006C1F7A">
        <w:t xml:space="preserve">BBB </w:t>
      </w:r>
      <w:r w:rsidR="006C1F7A" w:rsidRPr="00C26D67">
        <w:t>markers GLUT1 and GGT1</w:t>
      </w:r>
      <w:r w:rsidR="006C1F7A">
        <w:t xml:space="preserve"> were quantified using</w:t>
      </w:r>
      <w:r w:rsidR="006C1F7A" w:rsidRPr="00C26D67">
        <w:t xml:space="preserve"> qPCR using TaqMan gene expression assays (Applied Biosystems) after RNA extraction or by Western protein quantification from CTRL and </w:t>
      </w:r>
      <w:proofErr w:type="spellStart"/>
      <w:r w:rsidR="006C1F7A" w:rsidRPr="00C26D67">
        <w:t>transwells</w:t>
      </w:r>
      <w:proofErr w:type="spellEnd"/>
      <w:r w:rsidR="006C1F7A" w:rsidRPr="00C26D67">
        <w:t xml:space="preserve"> containing HUVECs without astrocytes (Qiagen)</w:t>
      </w:r>
      <w:r w:rsidR="006C1F7A">
        <w:t>.</w:t>
      </w:r>
    </w:p>
    <w:sectPr w:rsidR="006877AD" w:rsidRPr="00BC6DEC" w:rsidSect="009A1E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57DF" w14:textId="77777777" w:rsidR="005D0394" w:rsidRDefault="005D0394">
      <w:r>
        <w:separator/>
      </w:r>
    </w:p>
  </w:endnote>
  <w:endnote w:type="continuationSeparator" w:id="0">
    <w:p w14:paraId="48083967" w14:textId="77777777" w:rsidR="005D0394" w:rsidRDefault="005D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9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CD20" w14:textId="77777777" w:rsidR="00562A78" w:rsidRDefault="00D05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01B2A" w14:textId="77777777" w:rsidR="00562A78" w:rsidRDefault="005D0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CB32F" w14:textId="77777777" w:rsidR="005D0394" w:rsidRDefault="005D0394">
      <w:r>
        <w:separator/>
      </w:r>
    </w:p>
  </w:footnote>
  <w:footnote w:type="continuationSeparator" w:id="0">
    <w:p w14:paraId="51494E35" w14:textId="77777777" w:rsidR="005D0394" w:rsidRDefault="005D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"/>
  </w:docVars>
  <w:rsids>
    <w:rsidRoot w:val="00664F88"/>
    <w:rsid w:val="00055D70"/>
    <w:rsid w:val="001855CB"/>
    <w:rsid w:val="001A7B76"/>
    <w:rsid w:val="002F7401"/>
    <w:rsid w:val="00304752"/>
    <w:rsid w:val="00353E6C"/>
    <w:rsid w:val="003C0407"/>
    <w:rsid w:val="003E0242"/>
    <w:rsid w:val="004B79BA"/>
    <w:rsid w:val="0050225D"/>
    <w:rsid w:val="0055552C"/>
    <w:rsid w:val="00563AD2"/>
    <w:rsid w:val="005D0394"/>
    <w:rsid w:val="0060537E"/>
    <w:rsid w:val="00664F88"/>
    <w:rsid w:val="006877AD"/>
    <w:rsid w:val="006C1F7A"/>
    <w:rsid w:val="006E3FEF"/>
    <w:rsid w:val="007D4E2E"/>
    <w:rsid w:val="008F4905"/>
    <w:rsid w:val="009A1EBF"/>
    <w:rsid w:val="00A001AC"/>
    <w:rsid w:val="00B76365"/>
    <w:rsid w:val="00B80FCA"/>
    <w:rsid w:val="00BC0E61"/>
    <w:rsid w:val="00BC6DEC"/>
    <w:rsid w:val="00CA396E"/>
    <w:rsid w:val="00D05572"/>
    <w:rsid w:val="00E83105"/>
    <w:rsid w:val="00F35948"/>
    <w:rsid w:val="00F54F69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88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6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88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6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2426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Thuy</dc:creator>
  <cp:keywords/>
  <dc:description/>
  <cp:lastModifiedBy>AENCILAY</cp:lastModifiedBy>
  <cp:revision>8</cp:revision>
  <dcterms:created xsi:type="dcterms:W3CDTF">2019-03-10T03:58:00Z</dcterms:created>
  <dcterms:modified xsi:type="dcterms:W3CDTF">2019-07-24T01:51:00Z</dcterms:modified>
</cp:coreProperties>
</file>