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29A0" w14:textId="77777777" w:rsidR="00991214" w:rsidRPr="00991214" w:rsidRDefault="00991214" w:rsidP="00954659">
      <w:pPr>
        <w:autoSpaceDE w:val="0"/>
        <w:autoSpaceDN w:val="0"/>
        <w:adjustRightInd w:val="0"/>
        <w:spacing w:before="480" w:line="480" w:lineRule="auto"/>
        <w:rPr>
          <w:rFonts w:ascii="Arial" w:hAnsi="Arial" w:cs="Arial"/>
        </w:rPr>
      </w:pPr>
      <w:r w:rsidRPr="00991214">
        <w:rPr>
          <w:rFonts w:ascii="Arial" w:hAnsi="Arial" w:cs="Arial"/>
        </w:rPr>
        <w:t>Additional file 1</w:t>
      </w:r>
    </w:p>
    <w:p w14:paraId="4E9FA362" w14:textId="77777777" w:rsidR="00954659" w:rsidRPr="00CF6140" w:rsidRDefault="00954659" w:rsidP="00954659">
      <w:pPr>
        <w:autoSpaceDE w:val="0"/>
        <w:autoSpaceDN w:val="0"/>
        <w:adjustRightInd w:val="0"/>
        <w:spacing w:before="480" w:line="480" w:lineRule="auto"/>
        <w:rPr>
          <w:rFonts w:ascii="Arial" w:hAnsi="Arial" w:cs="Arial"/>
          <w:b/>
        </w:rPr>
      </w:pPr>
      <w:r w:rsidRPr="00CF6140">
        <w:rPr>
          <w:rFonts w:ascii="Arial" w:hAnsi="Arial" w:cs="Arial"/>
          <w:b/>
        </w:rPr>
        <w:t>SUPPLEMENTARY METHODS</w:t>
      </w:r>
    </w:p>
    <w:p w14:paraId="5D4BD2A6" w14:textId="77777777" w:rsidR="00954659" w:rsidRPr="00D42176" w:rsidRDefault="00954659" w:rsidP="00954659">
      <w:pPr>
        <w:spacing w:after="0" w:line="480" w:lineRule="auto"/>
        <w:rPr>
          <w:rFonts w:ascii="Arial" w:hAnsi="Arial" w:cs="Arial"/>
          <w:b/>
        </w:rPr>
      </w:pPr>
      <w:r w:rsidRPr="00D42176">
        <w:rPr>
          <w:rFonts w:ascii="Arial" w:hAnsi="Arial" w:cs="Arial"/>
          <w:b/>
        </w:rPr>
        <w:t>Immunogenicity methods</w:t>
      </w:r>
    </w:p>
    <w:p w14:paraId="40DD014C" w14:textId="329A0443" w:rsidR="00954659" w:rsidRPr="00D42176" w:rsidRDefault="00954659" w:rsidP="00954659">
      <w:pPr>
        <w:pStyle w:val="CommentText"/>
        <w:spacing w:line="480" w:lineRule="auto"/>
        <w:rPr>
          <w:rFonts w:ascii="Arial" w:hAnsi="Arial" w:cs="Arial"/>
          <w:sz w:val="22"/>
          <w:szCs w:val="22"/>
          <w:lang w:val="en-US"/>
        </w:rPr>
      </w:pPr>
      <w:r w:rsidRPr="00D42176">
        <w:rPr>
          <w:rFonts w:ascii="Arial" w:hAnsi="Arial" w:cs="Arial"/>
          <w:sz w:val="22"/>
          <w:szCs w:val="22"/>
          <w:lang w:val="en-US"/>
        </w:rPr>
        <w:t xml:space="preserve">Samples were assayed for the presence of pembrolizumab antidrug antibodies (ADAs) using a validated electrochemiluminescence (ECL) immunoassay on the </w:t>
      </w:r>
      <w:proofErr w:type="spellStart"/>
      <w:r w:rsidRPr="00D42176">
        <w:rPr>
          <w:rFonts w:ascii="Arial" w:hAnsi="Arial" w:cs="Arial"/>
          <w:sz w:val="22"/>
          <w:szCs w:val="22"/>
          <w:lang w:val="en-US"/>
        </w:rPr>
        <w:t>MesoScale</w:t>
      </w:r>
      <w:proofErr w:type="spellEnd"/>
      <w:r w:rsidRPr="00D42176">
        <w:rPr>
          <w:rFonts w:ascii="Arial" w:hAnsi="Arial" w:cs="Arial"/>
          <w:sz w:val="22"/>
          <w:szCs w:val="22"/>
          <w:lang w:val="en-US"/>
        </w:rPr>
        <w:t xml:space="preserve"> Discovery (MSD) platform. Bioanalysis of pembrolizumab ADAs was carried out using the standard 3-tiered assay approach</w:t>
      </w:r>
      <w:r w:rsidR="008C77F3">
        <w:rPr>
          <w:rFonts w:ascii="Arial" w:hAnsi="Arial" w:cs="Arial"/>
          <w:sz w:val="22"/>
          <w:szCs w:val="22"/>
          <w:lang w:val="en-US"/>
        </w:rPr>
        <w:t xml:space="preserve"> </w:t>
      </w:r>
      <w:r w:rsidR="00F1204C">
        <w:rPr>
          <w:rFonts w:ascii="Arial" w:hAnsi="Arial" w:cs="Arial"/>
          <w:sz w:val="22"/>
          <w:szCs w:val="22"/>
          <w:lang w:val="en-US"/>
        </w:rPr>
        <w:fldChar w:fldCharType="begin">
          <w:fldData xml:space="preserve">PEVuZE5vdGU+PENpdGU+PEF1dGhvcj5NaXJlLVNsdWlzPC9BdXRob3I+PFllYXI+MjAwNDwvWWVh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</w:fldData>
        </w:fldChar>
      </w:r>
      <w:r w:rsidR="00F1204C">
        <w:rPr>
          <w:rFonts w:ascii="Arial" w:hAnsi="Arial" w:cs="Arial"/>
          <w:sz w:val="22"/>
          <w:szCs w:val="22"/>
          <w:lang w:val="en-US"/>
        </w:rPr>
        <w:instrText xml:space="preserve"> ADDIN EN.CITE </w:instrText>
      </w:r>
      <w:r w:rsidR="00F1204C">
        <w:rPr>
          <w:rFonts w:ascii="Arial" w:hAnsi="Arial" w:cs="Arial"/>
          <w:sz w:val="22"/>
          <w:szCs w:val="22"/>
          <w:lang w:val="en-US"/>
        </w:rPr>
        <w:fldChar w:fldCharType="begin">
          <w:fldData xml:space="preserve">PEVuZE5vdGU+PENpdGU+PEF1dGhvcj5NaXJlLVNsdWlzPC9BdXRob3I+PFllYXI+MjAwNDwvWWVh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</w:fldData>
        </w:fldChar>
      </w:r>
      <w:r w:rsidR="00F1204C">
        <w:rPr>
          <w:rFonts w:ascii="Arial" w:hAnsi="Arial" w:cs="Arial"/>
          <w:sz w:val="22"/>
          <w:szCs w:val="22"/>
          <w:lang w:val="en-US"/>
        </w:rPr>
        <w:instrText xml:space="preserve"> ADDIN EN.CITE.DATA </w:instrText>
      </w:r>
      <w:r w:rsidR="00F1204C">
        <w:rPr>
          <w:rFonts w:ascii="Arial" w:hAnsi="Arial" w:cs="Arial"/>
          <w:sz w:val="22"/>
          <w:szCs w:val="22"/>
          <w:lang w:val="en-US"/>
        </w:rPr>
      </w:r>
      <w:r w:rsidR="00F1204C">
        <w:rPr>
          <w:rFonts w:ascii="Arial" w:hAnsi="Arial" w:cs="Arial"/>
          <w:sz w:val="22"/>
          <w:szCs w:val="22"/>
          <w:lang w:val="en-US"/>
        </w:rPr>
        <w:fldChar w:fldCharType="end"/>
      </w:r>
      <w:r w:rsidR="00F1204C">
        <w:rPr>
          <w:rFonts w:ascii="Arial" w:hAnsi="Arial" w:cs="Arial"/>
          <w:sz w:val="22"/>
          <w:szCs w:val="22"/>
          <w:lang w:val="en-US"/>
        </w:rPr>
      </w:r>
      <w:r w:rsidR="00F1204C">
        <w:rPr>
          <w:rFonts w:ascii="Arial" w:hAnsi="Arial" w:cs="Arial"/>
          <w:sz w:val="22"/>
          <w:szCs w:val="22"/>
          <w:lang w:val="en-US"/>
        </w:rPr>
        <w:fldChar w:fldCharType="separate"/>
      </w:r>
      <w:r w:rsidR="00F1204C">
        <w:rPr>
          <w:rFonts w:ascii="Arial" w:hAnsi="Arial" w:cs="Arial"/>
          <w:noProof/>
          <w:sz w:val="22"/>
          <w:szCs w:val="22"/>
          <w:lang w:val="en-US"/>
        </w:rPr>
        <w:t>[1-4]</w:t>
      </w:r>
      <w:r w:rsidR="00F1204C">
        <w:rPr>
          <w:rFonts w:ascii="Arial" w:hAnsi="Arial" w:cs="Arial"/>
          <w:sz w:val="22"/>
          <w:szCs w:val="22"/>
          <w:lang w:val="en-US"/>
        </w:rPr>
        <w:fldChar w:fldCharType="end"/>
      </w:r>
      <w:r w:rsidR="00F1204C">
        <w:rPr>
          <w:rFonts w:ascii="Arial" w:hAnsi="Arial" w:cs="Arial"/>
          <w:sz w:val="22"/>
          <w:szCs w:val="22"/>
          <w:lang w:val="en-US"/>
        </w:rPr>
        <w:t xml:space="preserve"> </w:t>
      </w:r>
      <w:r w:rsidRPr="00D42176">
        <w:rPr>
          <w:rFonts w:ascii="Arial" w:hAnsi="Arial" w:cs="Arial"/>
          <w:sz w:val="22"/>
          <w:szCs w:val="22"/>
          <w:lang w:val="en-US"/>
        </w:rPr>
        <w:t xml:space="preserve">that consisted of screening (tier 1), confirmation (tier 2), and antibody titer assessment (tier 3). Only </w:t>
      </w:r>
      <w:r w:rsidRPr="00CF6140">
        <w:rPr>
          <w:rFonts w:ascii="Arial" w:hAnsi="Arial" w:cs="Arial"/>
          <w:sz w:val="22"/>
          <w:szCs w:val="22"/>
          <w:lang w:val="en-US"/>
        </w:rPr>
        <w:t>t</w:t>
      </w:r>
      <w:r w:rsidRPr="00D42176">
        <w:rPr>
          <w:rFonts w:ascii="Arial" w:hAnsi="Arial" w:cs="Arial"/>
          <w:sz w:val="22"/>
          <w:szCs w:val="22"/>
          <w:lang w:val="en-US"/>
        </w:rPr>
        <w:t>ier</w:t>
      </w:r>
      <w:r w:rsidRPr="00CF6140">
        <w:rPr>
          <w:rFonts w:ascii="Arial" w:hAnsi="Arial" w:cs="Arial"/>
          <w:sz w:val="22"/>
          <w:szCs w:val="22"/>
          <w:lang w:val="en-US"/>
        </w:rPr>
        <w:t xml:space="preserve"> </w:t>
      </w:r>
      <w:r w:rsidRPr="00D42176">
        <w:rPr>
          <w:rFonts w:ascii="Arial" w:hAnsi="Arial" w:cs="Arial"/>
          <w:sz w:val="22"/>
          <w:szCs w:val="22"/>
          <w:lang w:val="en-US"/>
        </w:rPr>
        <w:t>2</w:t>
      </w:r>
      <w:r w:rsidRPr="00CF6140">
        <w:rPr>
          <w:rFonts w:ascii="Arial" w:hAnsi="Arial" w:cs="Arial"/>
          <w:sz w:val="22"/>
          <w:szCs w:val="22"/>
          <w:lang w:val="en-US"/>
        </w:rPr>
        <w:t>–</w:t>
      </w:r>
      <w:r w:rsidRPr="00D42176">
        <w:rPr>
          <w:rFonts w:ascii="Arial" w:hAnsi="Arial" w:cs="Arial"/>
          <w:sz w:val="22"/>
          <w:szCs w:val="22"/>
          <w:lang w:val="en-US"/>
        </w:rPr>
        <w:t xml:space="preserve">confirmed ADA-positive samples were moved to </w:t>
      </w:r>
      <w:r w:rsidRPr="00CF6140">
        <w:rPr>
          <w:rFonts w:ascii="Arial" w:hAnsi="Arial" w:cs="Arial"/>
          <w:sz w:val="22"/>
          <w:szCs w:val="22"/>
          <w:lang w:val="en-US"/>
        </w:rPr>
        <w:t>t</w:t>
      </w:r>
      <w:r w:rsidRPr="00D42176">
        <w:rPr>
          <w:rFonts w:ascii="Arial" w:hAnsi="Arial" w:cs="Arial"/>
          <w:sz w:val="22"/>
          <w:szCs w:val="22"/>
          <w:lang w:val="en-US"/>
        </w:rPr>
        <w:t>ier 3 and reported with a titer value and a neutralizing antibody (NAb) result.</w:t>
      </w:r>
    </w:p>
    <w:p w14:paraId="79879606" w14:textId="77777777" w:rsidR="00954659" w:rsidRPr="00CF6140" w:rsidRDefault="00954659" w:rsidP="00954659">
      <w:pPr>
        <w:pStyle w:val="Paragraph"/>
        <w:spacing w:line="480" w:lineRule="auto"/>
        <w:rPr>
          <w:rFonts w:ascii="Arial" w:hAnsi="Arial" w:cs="Arial"/>
          <w:sz w:val="22"/>
          <w:szCs w:val="22"/>
        </w:rPr>
      </w:pPr>
    </w:p>
    <w:p w14:paraId="61936714" w14:textId="291F056F" w:rsidR="00954659" w:rsidRPr="00CF6140" w:rsidRDefault="00954659" w:rsidP="00954659">
      <w:pPr>
        <w:pStyle w:val="Paragraph"/>
        <w:spacing w:line="480" w:lineRule="auto"/>
        <w:rPr>
          <w:rFonts w:ascii="Arial" w:hAnsi="Arial" w:cs="Arial"/>
          <w:sz w:val="22"/>
          <w:szCs w:val="22"/>
        </w:rPr>
      </w:pPr>
      <w:r w:rsidRPr="00CF6140">
        <w:rPr>
          <w:rFonts w:ascii="Arial" w:hAnsi="Arial" w:cs="Arial"/>
          <w:sz w:val="22"/>
          <w:szCs w:val="22"/>
        </w:rPr>
        <w:t>Pembrolizumab might interfere with the antibody assays at concentrations above the drug tolerance level (DTL). Therefore, an integrated evaluation of anti</w:t>
      </w:r>
      <w:r w:rsidR="00E336A1">
        <w:rPr>
          <w:rFonts w:ascii="Arial" w:hAnsi="Arial" w:cs="Arial"/>
          <w:sz w:val="22"/>
          <w:szCs w:val="22"/>
        </w:rPr>
        <w:t>-</w:t>
      </w:r>
      <w:r w:rsidRPr="00CF6140">
        <w:rPr>
          <w:rFonts w:ascii="Arial" w:hAnsi="Arial" w:cs="Arial"/>
          <w:sz w:val="22"/>
          <w:szCs w:val="22"/>
        </w:rPr>
        <w:t>pembrolizumab antibody results and pembrolizumab serum concentration was created for interpretation of immunogenicity results. A flow chart of the ADA sample analysis is shown in (s</w:t>
      </w:r>
      <w:r w:rsidRPr="00D42176">
        <w:rPr>
          <w:rFonts w:ascii="Arial" w:hAnsi="Arial" w:cs="Arial"/>
          <w:sz w:val="22"/>
          <w:szCs w:val="22"/>
        </w:rPr>
        <w:t xml:space="preserve">upplementary Figure </w:t>
      </w:r>
      <w:r w:rsidRPr="00CF6140">
        <w:rPr>
          <w:rFonts w:ascii="Arial" w:hAnsi="Arial" w:cs="Arial"/>
          <w:sz w:val="22"/>
          <w:szCs w:val="22"/>
        </w:rPr>
        <w:t>S</w:t>
      </w:r>
      <w:r w:rsidRPr="00D42176">
        <w:rPr>
          <w:rFonts w:ascii="Arial" w:hAnsi="Arial" w:cs="Arial"/>
          <w:sz w:val="22"/>
          <w:szCs w:val="22"/>
        </w:rPr>
        <w:t>1</w:t>
      </w:r>
      <w:r w:rsidRPr="00CF6140">
        <w:rPr>
          <w:rFonts w:ascii="Arial" w:hAnsi="Arial" w:cs="Arial"/>
          <w:sz w:val="22"/>
          <w:szCs w:val="22"/>
        </w:rPr>
        <w:t xml:space="preserve">). </w:t>
      </w:r>
    </w:p>
    <w:p w14:paraId="6EE650B1" w14:textId="77777777" w:rsidR="00954659" w:rsidRPr="00CF6140" w:rsidRDefault="00954659" w:rsidP="00954659">
      <w:pPr>
        <w:pStyle w:val="Paragraph"/>
        <w:spacing w:line="480" w:lineRule="auto"/>
        <w:rPr>
          <w:rFonts w:ascii="Arial" w:hAnsi="Arial" w:cs="Arial"/>
          <w:sz w:val="22"/>
          <w:szCs w:val="22"/>
        </w:rPr>
      </w:pPr>
    </w:p>
    <w:p w14:paraId="14B27BC2" w14:textId="62B6B77D" w:rsidR="00954659" w:rsidRPr="00CF6140" w:rsidRDefault="00954659" w:rsidP="00954659">
      <w:pPr>
        <w:pStyle w:val="Paragraph"/>
        <w:spacing w:line="480" w:lineRule="auto"/>
        <w:rPr>
          <w:rFonts w:ascii="Arial" w:hAnsi="Arial" w:cs="Arial"/>
          <w:sz w:val="22"/>
          <w:szCs w:val="22"/>
        </w:rPr>
      </w:pPr>
      <w:r w:rsidRPr="00CF6140">
        <w:rPr>
          <w:rFonts w:ascii="Arial" w:hAnsi="Arial" w:cs="Arial"/>
          <w:sz w:val="22"/>
          <w:szCs w:val="22"/>
        </w:rPr>
        <w:t xml:space="preserve">Tier 2–confirmed ADA-positive samples were also characterized for their neutralizing capacity using a NAb assay based on the ability of ADAs to block (neutralize) the critical first step in the pharmacological action of pembrolizumab, which is binding to programmed death 1 (PD-1) (the </w:t>
      </w:r>
      <w:r w:rsidRPr="00CF6140">
        <w:rPr>
          <w:rFonts w:ascii="Arial" w:hAnsi="Arial" w:cs="Arial"/>
          <w:i/>
          <w:sz w:val="22"/>
          <w:szCs w:val="22"/>
        </w:rPr>
        <w:t>in vivo</w:t>
      </w:r>
      <w:r w:rsidRPr="00CF6140">
        <w:rPr>
          <w:rFonts w:ascii="Arial" w:hAnsi="Arial" w:cs="Arial"/>
          <w:sz w:val="22"/>
          <w:szCs w:val="22"/>
        </w:rPr>
        <w:t xml:space="preserve"> target). During the course of the study, measurement of the ADA samples was transferred from 1 vendor (vendor 1, Intertek) to another (vendor 2, PPD). The initial neutralizing assay (vendor 1), was a validated </w:t>
      </w:r>
      <w:proofErr w:type="gramStart"/>
      <w:r w:rsidRPr="00CF6140">
        <w:rPr>
          <w:rFonts w:ascii="Arial" w:hAnsi="Arial" w:cs="Arial"/>
          <w:sz w:val="22"/>
          <w:szCs w:val="22"/>
        </w:rPr>
        <w:t>ligand-binding</w:t>
      </w:r>
      <w:proofErr w:type="gramEnd"/>
      <w:r w:rsidRPr="00CF6140">
        <w:rPr>
          <w:rFonts w:ascii="Arial" w:hAnsi="Arial" w:cs="Arial"/>
          <w:sz w:val="22"/>
          <w:szCs w:val="22"/>
        </w:rPr>
        <w:t xml:space="preserve"> ECL assay and consisted of 2 tiers: a </w:t>
      </w:r>
      <w:r w:rsidRPr="00CF6140">
        <w:rPr>
          <w:rFonts w:ascii="Arial" w:hAnsi="Arial" w:cs="Arial"/>
          <w:sz w:val="22"/>
          <w:szCs w:val="22"/>
        </w:rPr>
        <w:lastRenderedPageBreak/>
        <w:t>screening tier and a confirmatory tier. The first tier used a cut point aiming for 5% false-positives, while in the second, confirmatory, tier the cut point allowed for 1% false-positives. In the confirmatory tier, protein G depletion was used to confirm the presence of pembrolizumab NAbs (s</w:t>
      </w:r>
      <w:r w:rsidRPr="00D42176">
        <w:rPr>
          <w:rFonts w:ascii="Arial" w:hAnsi="Arial" w:cs="Arial"/>
          <w:sz w:val="22"/>
          <w:szCs w:val="22"/>
        </w:rPr>
        <w:t xml:space="preserve">upplementary Figure </w:t>
      </w:r>
      <w:r w:rsidRPr="00CF6140">
        <w:rPr>
          <w:rFonts w:ascii="Arial" w:hAnsi="Arial" w:cs="Arial"/>
          <w:sz w:val="22"/>
          <w:szCs w:val="22"/>
        </w:rPr>
        <w:t>S</w:t>
      </w:r>
      <w:r w:rsidRPr="00D42176">
        <w:rPr>
          <w:rFonts w:ascii="Arial" w:hAnsi="Arial" w:cs="Arial"/>
          <w:sz w:val="22"/>
          <w:szCs w:val="22"/>
        </w:rPr>
        <w:t>2</w:t>
      </w:r>
      <w:r w:rsidRPr="00CF6140">
        <w:rPr>
          <w:rFonts w:ascii="Arial" w:hAnsi="Arial" w:cs="Arial"/>
          <w:sz w:val="22"/>
          <w:szCs w:val="22"/>
        </w:rPr>
        <w:t xml:space="preserve">). The neutralizing assay was subsequently redesigned at a second contract research organization (vendor 2). This assay was a validated ligand-binding ECL assay that was adjusted to a single-tier approach. The assay cut point in the first tier aimed for 1% </w:t>
      </w:r>
      <w:proofErr w:type="gramStart"/>
      <w:r w:rsidRPr="00CF6140">
        <w:rPr>
          <w:rFonts w:ascii="Arial" w:hAnsi="Arial" w:cs="Arial"/>
          <w:sz w:val="22"/>
          <w:szCs w:val="22"/>
        </w:rPr>
        <w:t>false-positives</w:t>
      </w:r>
      <w:proofErr w:type="gramEnd"/>
      <w:r w:rsidRPr="00CF6140">
        <w:rPr>
          <w:rFonts w:ascii="Arial" w:hAnsi="Arial" w:cs="Arial"/>
          <w:sz w:val="22"/>
          <w:szCs w:val="22"/>
        </w:rPr>
        <w:t xml:space="preserve"> instead of 5%, supporting the elimination of the second tier. As part of the assay transfer, the ADA screening assay was further optimized to increase the DTL. </w:t>
      </w:r>
      <w:r w:rsidR="00E336A1">
        <w:rPr>
          <w:rFonts w:ascii="Arial" w:hAnsi="Arial" w:cs="Arial"/>
          <w:sz w:val="22"/>
          <w:szCs w:val="22"/>
        </w:rPr>
        <w:t>Additionally</w:t>
      </w:r>
      <w:r w:rsidRPr="00CF6140">
        <w:rPr>
          <w:rFonts w:ascii="Arial" w:hAnsi="Arial" w:cs="Arial"/>
          <w:sz w:val="22"/>
          <w:szCs w:val="22"/>
        </w:rPr>
        <w:t xml:space="preserve">, the assay used a purification step, next to the acid dissociation step, to further reduce the influence of remaining drug in the study serum sample. </w:t>
      </w:r>
      <w:r w:rsidR="00E336A1">
        <w:rPr>
          <w:rFonts w:ascii="Arial" w:hAnsi="Arial" w:cs="Arial"/>
          <w:sz w:val="22"/>
          <w:szCs w:val="22"/>
        </w:rPr>
        <w:t>Some</w:t>
      </w:r>
      <w:r w:rsidR="00E336A1" w:rsidRPr="00CF6140">
        <w:rPr>
          <w:rFonts w:ascii="Arial" w:hAnsi="Arial" w:cs="Arial"/>
          <w:sz w:val="22"/>
          <w:szCs w:val="22"/>
        </w:rPr>
        <w:t xml:space="preserve"> </w:t>
      </w:r>
      <w:r w:rsidRPr="00CF6140">
        <w:rPr>
          <w:rFonts w:ascii="Arial" w:hAnsi="Arial" w:cs="Arial"/>
          <w:sz w:val="22"/>
          <w:szCs w:val="22"/>
        </w:rPr>
        <w:t xml:space="preserve">of the samples were analyzed at vendor 1 and </w:t>
      </w:r>
      <w:r w:rsidR="00E336A1">
        <w:rPr>
          <w:rFonts w:ascii="Arial" w:hAnsi="Arial" w:cs="Arial"/>
          <w:sz w:val="22"/>
          <w:szCs w:val="22"/>
        </w:rPr>
        <w:t>some</w:t>
      </w:r>
      <w:r w:rsidR="00E336A1" w:rsidRPr="00CF6140">
        <w:rPr>
          <w:rFonts w:ascii="Arial" w:hAnsi="Arial" w:cs="Arial"/>
          <w:sz w:val="22"/>
          <w:szCs w:val="22"/>
        </w:rPr>
        <w:t xml:space="preserve"> </w:t>
      </w:r>
      <w:r w:rsidRPr="00CF6140">
        <w:rPr>
          <w:rFonts w:ascii="Arial" w:hAnsi="Arial" w:cs="Arial"/>
          <w:sz w:val="22"/>
          <w:szCs w:val="22"/>
        </w:rPr>
        <w:t>of the samples were analyzed at vendor 2. For the evaluation of each individual ADA sample, the DTL of the corresponding location of analysis was used. The DTL for the ADA assay executed at vendor 1 was 25 µg/mL and that for the ADA screening assay executed at vendor 2 was 124 µg/mL.</w:t>
      </w:r>
    </w:p>
    <w:p w14:paraId="2A9BAED6" w14:textId="025E2AB7" w:rsidR="00F1204C" w:rsidRDefault="00F1204C"/>
    <w:p w14:paraId="71994FF9" w14:textId="68A3EF73" w:rsidR="00F1204C" w:rsidRPr="00F1204C" w:rsidRDefault="00F1204C" w:rsidP="00F1204C">
      <w:pPr>
        <w:spacing w:line="480" w:lineRule="auto"/>
        <w:rPr>
          <w:rFonts w:ascii="Arial" w:hAnsi="Arial" w:cs="Arial"/>
          <w:b/>
          <w:bCs/>
        </w:rPr>
      </w:pPr>
      <w:bookmarkStart w:id="0" w:name="_GoBack"/>
      <w:r w:rsidRPr="00F1204C">
        <w:rPr>
          <w:rFonts w:ascii="Arial" w:hAnsi="Arial" w:cs="Arial"/>
          <w:b/>
          <w:bCs/>
        </w:rPr>
        <w:t>References</w:t>
      </w:r>
      <w:bookmarkEnd w:id="0"/>
    </w:p>
    <w:p w14:paraId="3F1DA963" w14:textId="77777777" w:rsidR="00F1204C" w:rsidRPr="008C77F3" w:rsidRDefault="00F1204C" w:rsidP="00F1204C">
      <w:pPr>
        <w:pStyle w:val="EndNoteBibliography"/>
        <w:spacing w:after="0" w:line="480" w:lineRule="auto"/>
        <w:ind w:left="720" w:hanging="720"/>
        <w:rPr>
          <w:rFonts w:ascii="Arial" w:hAnsi="Arial" w:cs="Arial"/>
        </w:rPr>
      </w:pPr>
      <w:r w:rsidRPr="008C77F3">
        <w:rPr>
          <w:rFonts w:ascii="Arial" w:hAnsi="Arial" w:cs="Arial"/>
        </w:rPr>
        <w:fldChar w:fldCharType="begin"/>
      </w:r>
      <w:r w:rsidRPr="008C77F3">
        <w:rPr>
          <w:rFonts w:ascii="Arial" w:hAnsi="Arial" w:cs="Arial"/>
        </w:rPr>
        <w:instrText xml:space="preserve"> ADDIN EN.REFLIST </w:instrText>
      </w:r>
      <w:r w:rsidRPr="008C77F3">
        <w:rPr>
          <w:rFonts w:ascii="Arial" w:hAnsi="Arial" w:cs="Arial"/>
        </w:rPr>
        <w:fldChar w:fldCharType="separate"/>
      </w:r>
      <w:r w:rsidRPr="008C77F3">
        <w:rPr>
          <w:rFonts w:ascii="Arial" w:hAnsi="Arial" w:cs="Arial"/>
        </w:rPr>
        <w:t>1.</w:t>
      </w:r>
      <w:r w:rsidRPr="008C77F3">
        <w:rPr>
          <w:rFonts w:ascii="Arial" w:hAnsi="Arial" w:cs="Arial"/>
        </w:rPr>
        <w:tab/>
        <w:t>Mire-Sluis AR, Barrett YC, Devanarayan V, Koren E, Liu H, Maia M, et al. Recommendations for the design and optimization of immunoassays used in the detection of host antibodies against biotechnology products. J Immunol Methods</w:t>
      </w:r>
      <w:r w:rsidRPr="008C77F3">
        <w:rPr>
          <w:rFonts w:ascii="Arial" w:hAnsi="Arial" w:cs="Arial"/>
          <w:i/>
        </w:rPr>
        <w:t xml:space="preserve">. </w:t>
      </w:r>
      <w:r w:rsidRPr="008C77F3">
        <w:rPr>
          <w:rFonts w:ascii="Arial" w:hAnsi="Arial" w:cs="Arial"/>
        </w:rPr>
        <w:t>2004;289(1-2):1-16.</w:t>
      </w:r>
    </w:p>
    <w:p w14:paraId="784087C6" w14:textId="77777777" w:rsidR="00F1204C" w:rsidRPr="008C77F3" w:rsidRDefault="00F1204C" w:rsidP="00F1204C">
      <w:pPr>
        <w:pStyle w:val="EndNoteBibliography"/>
        <w:spacing w:after="0" w:line="480" w:lineRule="auto"/>
        <w:ind w:left="720" w:hanging="720"/>
        <w:rPr>
          <w:rFonts w:ascii="Arial" w:hAnsi="Arial" w:cs="Arial"/>
        </w:rPr>
      </w:pPr>
      <w:r w:rsidRPr="008C77F3">
        <w:rPr>
          <w:rFonts w:ascii="Arial" w:hAnsi="Arial" w:cs="Arial"/>
        </w:rPr>
        <w:t>2.</w:t>
      </w:r>
      <w:r w:rsidRPr="008C77F3">
        <w:rPr>
          <w:rFonts w:ascii="Arial" w:hAnsi="Arial" w:cs="Arial"/>
        </w:rPr>
        <w:tab/>
        <w:t>Shankar G, Arkin S, Cocea L, Devanarayan V, Kirshner S, Kromminga A, et al. Assessment and reporting of the clinical immunogenicity of therapeutic proteins and peptides-harmonized terminology and tactical recommendations. AAPS J</w:t>
      </w:r>
      <w:r w:rsidRPr="008C77F3">
        <w:rPr>
          <w:rFonts w:ascii="Arial" w:hAnsi="Arial" w:cs="Arial"/>
          <w:i/>
        </w:rPr>
        <w:t xml:space="preserve">. </w:t>
      </w:r>
      <w:r w:rsidRPr="008C77F3">
        <w:rPr>
          <w:rFonts w:ascii="Arial" w:hAnsi="Arial" w:cs="Arial"/>
        </w:rPr>
        <w:t>2014;16(4):658-73.</w:t>
      </w:r>
    </w:p>
    <w:p w14:paraId="332DF63C" w14:textId="69F686B0" w:rsidR="00F1204C" w:rsidRPr="008C77F3" w:rsidRDefault="00F1204C" w:rsidP="00E14B64">
      <w:pPr>
        <w:pStyle w:val="EndNoteBibliography"/>
        <w:spacing w:after="0" w:line="480" w:lineRule="auto"/>
        <w:ind w:left="720" w:hanging="720"/>
        <w:rPr>
          <w:rFonts w:ascii="Arial" w:hAnsi="Arial" w:cs="Arial"/>
        </w:rPr>
      </w:pPr>
      <w:r w:rsidRPr="008C77F3">
        <w:rPr>
          <w:rFonts w:ascii="Arial" w:hAnsi="Arial" w:cs="Arial"/>
        </w:rPr>
        <w:lastRenderedPageBreak/>
        <w:t>3.</w:t>
      </w:r>
      <w:r w:rsidRPr="008C77F3">
        <w:rPr>
          <w:rFonts w:ascii="Arial" w:hAnsi="Arial" w:cs="Arial"/>
        </w:rPr>
        <w:tab/>
        <w:t xml:space="preserve">US </w:t>
      </w:r>
      <w:r w:rsidR="00E14B64">
        <w:rPr>
          <w:rFonts w:ascii="Arial" w:hAnsi="Arial" w:cs="Arial"/>
        </w:rPr>
        <w:t>Department of Health and Human Services, Food and Drug Administration, Center for Drug Evaluation and Research (CDER), Center for Biologics Evaluation and Reseach (CBER). Immunogenicity testing of therapeutic protein products</w:t>
      </w:r>
      <w:r w:rsidR="00E14B64" w:rsidRPr="00E14B64">
        <w:t xml:space="preserve"> </w:t>
      </w:r>
      <w:r w:rsidR="00E14B64" w:rsidRPr="00E14B64">
        <w:rPr>
          <w:rFonts w:ascii="Arial" w:hAnsi="Arial" w:cs="Arial"/>
        </w:rPr>
        <w:t>—Developing and validating assays for antidrug</w:t>
      </w:r>
      <w:r w:rsidR="00E14B64">
        <w:rPr>
          <w:rFonts w:ascii="Arial" w:hAnsi="Arial" w:cs="Arial"/>
        </w:rPr>
        <w:t xml:space="preserve"> </w:t>
      </w:r>
      <w:r w:rsidR="00E14B64" w:rsidRPr="00E14B64">
        <w:rPr>
          <w:rFonts w:ascii="Arial" w:hAnsi="Arial" w:cs="Arial"/>
        </w:rPr>
        <w:t>antibody detection: guidance for industry. 2019. https://www.fda.gov/media/119788/download. Accessed 9 July 2019.</w:t>
      </w:r>
    </w:p>
    <w:p w14:paraId="1B5A2E3F" w14:textId="3199F890" w:rsidR="00F1204C" w:rsidRPr="003E5407" w:rsidRDefault="00F1204C" w:rsidP="003E5407">
      <w:pPr>
        <w:pStyle w:val="EndNoteBibliography"/>
        <w:spacing w:line="480" w:lineRule="auto"/>
        <w:ind w:left="720" w:hanging="720"/>
        <w:rPr>
          <w:rFonts w:ascii="Arial" w:hAnsi="Arial" w:cs="Arial"/>
        </w:rPr>
      </w:pPr>
      <w:r w:rsidRPr="008C77F3">
        <w:rPr>
          <w:rFonts w:ascii="Arial" w:hAnsi="Arial" w:cs="Arial"/>
        </w:rPr>
        <w:t>4.</w:t>
      </w:r>
      <w:r w:rsidRPr="00E14B64">
        <w:rPr>
          <w:rFonts w:ascii="Arial" w:hAnsi="Arial" w:cs="Arial"/>
        </w:rPr>
        <w:tab/>
        <w:t xml:space="preserve">European Medicines Agency. Guideline on </w:t>
      </w:r>
      <w:r w:rsidR="008C77F3" w:rsidRPr="00E14B64">
        <w:rPr>
          <w:rFonts w:ascii="Arial" w:hAnsi="Arial" w:cs="Arial"/>
        </w:rPr>
        <w:t>immunogenicity assessment of biotechnology-derived therapeutic proteins.</w:t>
      </w:r>
      <w:r w:rsidRPr="00E14B64">
        <w:rPr>
          <w:rFonts w:ascii="Arial" w:hAnsi="Arial" w:cs="Arial"/>
        </w:rPr>
        <w:t xml:space="preserve"> </w:t>
      </w:r>
      <w:r w:rsidR="002C5979" w:rsidRPr="00E14B64">
        <w:rPr>
          <w:rFonts w:ascii="Arial" w:hAnsi="Arial" w:cs="Arial"/>
        </w:rPr>
        <w:t>2007</w:t>
      </w:r>
      <w:r w:rsidR="00E14B64" w:rsidRPr="00E14B64">
        <w:rPr>
          <w:rFonts w:ascii="Arial" w:hAnsi="Arial" w:cs="Arial"/>
        </w:rPr>
        <w:t xml:space="preserve">. </w:t>
      </w:r>
      <w:r w:rsidR="002C5979" w:rsidRPr="00E57ED4">
        <w:rPr>
          <w:rFonts w:ascii="Arial" w:hAnsi="Arial" w:cs="Arial"/>
        </w:rPr>
        <w:t>https://www.ema.europa.eu/en/documents/scientific-guideline/guideline-immunogenicity-assessment-biotechnology-derived-therapeutic-proteins-first-version_en.pdf</w:t>
      </w:r>
      <w:r w:rsidR="003E5407" w:rsidRPr="00E57ED4">
        <w:rPr>
          <w:rFonts w:ascii="Arial" w:hAnsi="Arial" w:cs="Arial"/>
        </w:rPr>
        <w:t xml:space="preserve">. </w:t>
      </w:r>
      <w:r w:rsidR="008C77F3" w:rsidRPr="00E14B64">
        <w:rPr>
          <w:rFonts w:ascii="Arial" w:hAnsi="Arial" w:cs="Arial"/>
        </w:rPr>
        <w:t>Accessed July 23, 2019.</w:t>
      </w:r>
    </w:p>
    <w:p w14:paraId="1E4272DB" w14:textId="575963E5" w:rsidR="00EA29B0" w:rsidRDefault="00F1204C" w:rsidP="00F1204C">
      <w:pPr>
        <w:spacing w:line="480" w:lineRule="auto"/>
      </w:pPr>
      <w:r w:rsidRPr="008C77F3">
        <w:rPr>
          <w:rFonts w:ascii="Arial" w:hAnsi="Arial" w:cs="Arial"/>
        </w:rPr>
        <w:fldChar w:fldCharType="end"/>
      </w:r>
    </w:p>
    <w:sectPr w:rsidR="00EA2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 Immunother Canc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zwpa5e4edf05edtsoxtftvz9arzprrvrsv&quot;&gt;HelpDesk@hhealth.com&lt;record-ids&gt;&lt;item&gt;83056&lt;/item&gt;&lt;item&gt;83497&lt;/item&gt;&lt;item&gt;83500&lt;/item&gt;&lt;item&gt;83502&lt;/item&gt;&lt;/record-ids&gt;&lt;/item&gt;&lt;/Libraries&gt;"/>
    <w:docVar w:name="Total_Editing_Time" w:val="0"/>
  </w:docVars>
  <w:rsids>
    <w:rsidRoot w:val="00954659"/>
    <w:rsid w:val="002C5979"/>
    <w:rsid w:val="003E5407"/>
    <w:rsid w:val="00432591"/>
    <w:rsid w:val="006861A1"/>
    <w:rsid w:val="006900FC"/>
    <w:rsid w:val="00890F31"/>
    <w:rsid w:val="008C77F3"/>
    <w:rsid w:val="00954659"/>
    <w:rsid w:val="00991214"/>
    <w:rsid w:val="00AB406A"/>
    <w:rsid w:val="00BE75FF"/>
    <w:rsid w:val="00C312B7"/>
    <w:rsid w:val="00D322A0"/>
    <w:rsid w:val="00E14B64"/>
    <w:rsid w:val="00E336A1"/>
    <w:rsid w:val="00E57ED4"/>
    <w:rsid w:val="00EA29B0"/>
    <w:rsid w:val="00F1204C"/>
    <w:rsid w:val="00FA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EF84"/>
  <w15:docId w15:val="{06B8BFA6-814C-4D29-89B2-037279A7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59"/>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954659"/>
    <w:pPr>
      <w:spacing w:after="160" w:line="240" w:lineRule="auto"/>
    </w:pPr>
    <w:rPr>
      <w:rFonts w:eastAsiaTheme="minorEastAsia"/>
      <w:sz w:val="20"/>
      <w:szCs w:val="20"/>
      <w:lang w:val="en-NZ"/>
    </w:rPr>
  </w:style>
  <w:style w:type="character" w:customStyle="1" w:styleId="CommentTextChar">
    <w:name w:val="Comment Text Char"/>
    <w:basedOn w:val="DefaultParagraphFont"/>
    <w:link w:val="CommentText"/>
    <w:rsid w:val="00954659"/>
    <w:rPr>
      <w:rFonts w:eastAsiaTheme="minorEastAsia"/>
      <w:sz w:val="20"/>
      <w:szCs w:val="20"/>
      <w:lang w:val="en-NZ"/>
    </w:rPr>
  </w:style>
  <w:style w:type="paragraph" w:customStyle="1" w:styleId="Paragraph">
    <w:name w:val="Paragraph"/>
    <w:link w:val="ParagraphChar"/>
    <w:rsid w:val="00954659"/>
    <w:pPr>
      <w:spacing w:before="60" w:after="240" w:line="240" w:lineRule="auto"/>
    </w:pPr>
    <w:rPr>
      <w:rFonts w:ascii="Times New Roman" w:eastAsia="MS Gothic" w:hAnsi="Times New Roman" w:cs="Times New Roman"/>
      <w:sz w:val="24"/>
      <w:szCs w:val="24"/>
    </w:rPr>
  </w:style>
  <w:style w:type="character" w:customStyle="1" w:styleId="ParagraphChar">
    <w:name w:val="Paragraph Char"/>
    <w:link w:val="Paragraph"/>
    <w:rsid w:val="00954659"/>
    <w:rPr>
      <w:rFonts w:ascii="Times New Roman" w:eastAsia="MS Gothic" w:hAnsi="Times New Roman" w:cs="Times New Roman"/>
      <w:sz w:val="24"/>
      <w:szCs w:val="24"/>
    </w:rPr>
  </w:style>
  <w:style w:type="paragraph" w:customStyle="1" w:styleId="EndNoteBibliographyTitle">
    <w:name w:val="EndNote Bibliography Title"/>
    <w:basedOn w:val="Normal"/>
    <w:link w:val="EndNoteBibliographyTitleChar"/>
    <w:rsid w:val="00F1204C"/>
    <w:pPr>
      <w:spacing w:after="0"/>
      <w:jc w:val="center"/>
    </w:pPr>
    <w:rPr>
      <w:rFonts w:ascii="Calibri" w:hAnsi="Calibri" w:cs="Calibri"/>
      <w:noProof/>
    </w:rPr>
  </w:style>
  <w:style w:type="character" w:customStyle="1" w:styleId="EndNoteBibliographyTitleChar">
    <w:name w:val="EndNote Bibliography Title Char"/>
    <w:basedOn w:val="CommentTextChar"/>
    <w:link w:val="EndNoteBibliographyTitle"/>
    <w:rsid w:val="00F1204C"/>
    <w:rPr>
      <w:rFonts w:ascii="Calibri" w:eastAsia="MS Mincho" w:hAnsi="Calibri" w:cs="Calibri"/>
      <w:noProof/>
      <w:sz w:val="20"/>
      <w:szCs w:val="20"/>
      <w:lang w:val="en-NZ"/>
    </w:rPr>
  </w:style>
  <w:style w:type="paragraph" w:customStyle="1" w:styleId="EndNoteBibliography">
    <w:name w:val="EndNote Bibliography"/>
    <w:basedOn w:val="Normal"/>
    <w:link w:val="EndNoteBibliographyChar"/>
    <w:rsid w:val="00F1204C"/>
    <w:pPr>
      <w:spacing w:line="240" w:lineRule="auto"/>
    </w:pPr>
    <w:rPr>
      <w:rFonts w:ascii="Calibri" w:hAnsi="Calibri" w:cs="Calibri"/>
      <w:noProof/>
    </w:rPr>
  </w:style>
  <w:style w:type="character" w:customStyle="1" w:styleId="EndNoteBibliographyChar">
    <w:name w:val="EndNote Bibliography Char"/>
    <w:basedOn w:val="CommentTextChar"/>
    <w:link w:val="EndNoteBibliography"/>
    <w:rsid w:val="00F1204C"/>
    <w:rPr>
      <w:rFonts w:ascii="Calibri" w:eastAsia="MS Mincho" w:hAnsi="Calibri" w:cs="Calibri"/>
      <w:noProof/>
      <w:sz w:val="20"/>
      <w:szCs w:val="20"/>
      <w:lang w:val="en-NZ"/>
    </w:rPr>
  </w:style>
  <w:style w:type="character" w:styleId="Hyperlink">
    <w:name w:val="Hyperlink"/>
    <w:basedOn w:val="DefaultParagraphFont"/>
    <w:uiPriority w:val="99"/>
    <w:unhideWhenUsed/>
    <w:rsid w:val="00F1204C"/>
    <w:rPr>
      <w:color w:val="0000FF" w:themeColor="hyperlink"/>
      <w:u w:val="single"/>
    </w:rPr>
  </w:style>
  <w:style w:type="character" w:styleId="UnresolvedMention">
    <w:name w:val="Unresolved Mention"/>
    <w:basedOn w:val="DefaultParagraphFont"/>
    <w:uiPriority w:val="99"/>
    <w:semiHidden/>
    <w:unhideWhenUsed/>
    <w:rsid w:val="00F1204C"/>
    <w:rPr>
      <w:color w:val="605E5C"/>
      <w:shd w:val="clear" w:color="auto" w:fill="E1DFDD"/>
    </w:rPr>
  </w:style>
  <w:style w:type="paragraph" w:styleId="BalloonText">
    <w:name w:val="Balloon Text"/>
    <w:basedOn w:val="Normal"/>
    <w:link w:val="BalloonTextChar"/>
    <w:uiPriority w:val="99"/>
    <w:semiHidden/>
    <w:unhideWhenUsed/>
    <w:rsid w:val="008C7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F3"/>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8C77F3"/>
    <w:rPr>
      <w:sz w:val="16"/>
      <w:szCs w:val="16"/>
    </w:rPr>
  </w:style>
  <w:style w:type="paragraph" w:styleId="CommentSubject">
    <w:name w:val="annotation subject"/>
    <w:basedOn w:val="CommentText"/>
    <w:next w:val="CommentText"/>
    <w:link w:val="CommentSubjectChar"/>
    <w:uiPriority w:val="99"/>
    <w:semiHidden/>
    <w:unhideWhenUsed/>
    <w:rsid w:val="008C77F3"/>
    <w:pPr>
      <w:spacing w:after="200"/>
    </w:pPr>
    <w:rPr>
      <w:rFonts w:eastAsia="MS Mincho"/>
      <w:b/>
      <w:bCs/>
      <w:lang w:val="en-US"/>
    </w:rPr>
  </w:style>
  <w:style w:type="character" w:customStyle="1" w:styleId="CommentSubjectChar">
    <w:name w:val="Comment Subject Char"/>
    <w:basedOn w:val="CommentTextChar"/>
    <w:link w:val="CommentSubject"/>
    <w:uiPriority w:val="99"/>
    <w:semiHidden/>
    <w:rsid w:val="008C77F3"/>
    <w:rPr>
      <w:rFonts w:eastAsia="MS Mincho"/>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E5E0-92C4-476F-B923-2AFB0E78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CCERINO</dc:creator>
  <cp:lastModifiedBy>Derek Okladek</cp:lastModifiedBy>
  <cp:revision>4</cp:revision>
  <dcterms:created xsi:type="dcterms:W3CDTF">2019-07-30T18:36:00Z</dcterms:created>
  <dcterms:modified xsi:type="dcterms:W3CDTF">2019-08-02T14:45:00Z</dcterms:modified>
</cp:coreProperties>
</file>