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CAD59BC" w14:textId="480668AD" w:rsidR="00CE4AEF" w:rsidRDefault="001364F5" w:rsidP="00435DB2">
      <w:pPr>
        <w:spacing w:line="480" w:lineRule="exact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Figure </w:t>
      </w:r>
      <w:r w:rsidR="00881DA3">
        <w:rPr>
          <w:rFonts w:ascii="Arial" w:hAnsi="Arial" w:cs="Arial"/>
          <w:b/>
        </w:rPr>
        <w:t>S</w:t>
      </w:r>
      <w:r w:rsidR="00254061" w:rsidRPr="00A74826">
        <w:rPr>
          <w:rFonts w:ascii="Arial" w:hAnsi="Arial" w:cs="Arial"/>
          <w:b/>
        </w:rPr>
        <w:t>5</w:t>
      </w:r>
    </w:p>
    <w:p w14:paraId="015868ED" w14:textId="38EA81CD" w:rsidR="00C44038" w:rsidRPr="00254061" w:rsidRDefault="001A5B59" w:rsidP="00435DB2">
      <w:pPr>
        <w:spacing w:line="480" w:lineRule="exact"/>
        <w:rPr>
          <w:rFonts w:ascii="Arial" w:hAnsi="Arial" w:cs="Arial"/>
          <w:b/>
        </w:rPr>
      </w:pPr>
      <w:r w:rsidRPr="001A5B59">
        <w:rPr>
          <w:rFonts w:ascii="Arial" w:hAnsi="Arial" w:cs="Arial"/>
          <w:b/>
          <w:noProof/>
        </w:rPr>
        <w:drawing>
          <wp:anchor distT="0" distB="0" distL="114300" distR="114300" simplePos="0" relativeHeight="251658240" behindDoc="0" locked="0" layoutInCell="1" allowOverlap="1" wp14:anchorId="5CCBE709" wp14:editId="7E28DCDD">
            <wp:simplePos x="0" y="0"/>
            <wp:positionH relativeFrom="column">
              <wp:posOffset>-8255</wp:posOffset>
            </wp:positionH>
            <wp:positionV relativeFrom="paragraph">
              <wp:posOffset>16298</wp:posOffset>
            </wp:positionV>
            <wp:extent cx="6138333" cy="5215497"/>
            <wp:effectExtent l="0" t="0" r="0" b="4445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6" t="6840" b="3087"/>
                    <a:stretch/>
                  </pic:blipFill>
                  <pic:spPr bwMode="auto">
                    <a:xfrm>
                      <a:off x="0" y="0"/>
                      <a:ext cx="6138333" cy="5215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BE0797" w14:textId="43A54163" w:rsidR="00C44038" w:rsidRDefault="00C44038" w:rsidP="00435DB2">
      <w:pPr>
        <w:spacing w:line="480" w:lineRule="exact"/>
        <w:rPr>
          <w:rFonts w:ascii="Arial" w:hAnsi="Arial" w:cs="Arial"/>
          <w:b/>
        </w:rPr>
      </w:pPr>
    </w:p>
    <w:p w14:paraId="10360E3E" w14:textId="77777777" w:rsidR="00C44038" w:rsidRDefault="00C44038" w:rsidP="00435DB2">
      <w:pPr>
        <w:spacing w:line="480" w:lineRule="exact"/>
        <w:rPr>
          <w:rFonts w:ascii="Arial" w:hAnsi="Arial" w:cs="Arial"/>
          <w:b/>
        </w:rPr>
      </w:pPr>
    </w:p>
    <w:p w14:paraId="04CD0C10" w14:textId="77777777" w:rsidR="00C44038" w:rsidRDefault="00C44038" w:rsidP="00435DB2">
      <w:pPr>
        <w:spacing w:line="480" w:lineRule="exact"/>
        <w:rPr>
          <w:rFonts w:ascii="Arial" w:hAnsi="Arial" w:cs="Arial"/>
          <w:b/>
        </w:rPr>
      </w:pPr>
    </w:p>
    <w:p w14:paraId="49546361" w14:textId="77777777" w:rsidR="00C44038" w:rsidRDefault="00C44038" w:rsidP="00435DB2">
      <w:pPr>
        <w:spacing w:line="480" w:lineRule="exact"/>
        <w:rPr>
          <w:rFonts w:ascii="Arial" w:hAnsi="Arial" w:cs="Arial"/>
          <w:b/>
        </w:rPr>
      </w:pPr>
    </w:p>
    <w:p w14:paraId="45756877" w14:textId="77777777" w:rsidR="00C44038" w:rsidRDefault="00C44038" w:rsidP="00435DB2">
      <w:pPr>
        <w:spacing w:line="480" w:lineRule="exact"/>
        <w:rPr>
          <w:rFonts w:ascii="Arial" w:hAnsi="Arial" w:cs="Arial"/>
          <w:b/>
        </w:rPr>
      </w:pPr>
    </w:p>
    <w:p w14:paraId="44356A1B" w14:textId="77777777" w:rsidR="00C44038" w:rsidRDefault="00C44038" w:rsidP="00435DB2">
      <w:pPr>
        <w:spacing w:line="480" w:lineRule="exact"/>
        <w:rPr>
          <w:rFonts w:ascii="Arial" w:hAnsi="Arial" w:cs="Arial"/>
          <w:b/>
        </w:rPr>
      </w:pPr>
    </w:p>
    <w:p w14:paraId="50347595" w14:textId="77777777" w:rsidR="00C44038" w:rsidRDefault="00C44038" w:rsidP="00435DB2">
      <w:pPr>
        <w:spacing w:line="480" w:lineRule="exact"/>
        <w:rPr>
          <w:rFonts w:ascii="Arial" w:hAnsi="Arial" w:cs="Arial"/>
          <w:b/>
        </w:rPr>
      </w:pPr>
    </w:p>
    <w:p w14:paraId="078FC4ED" w14:textId="77777777" w:rsidR="00C44038" w:rsidRDefault="00C44038" w:rsidP="00435DB2">
      <w:pPr>
        <w:spacing w:line="480" w:lineRule="exact"/>
        <w:rPr>
          <w:rFonts w:ascii="Arial" w:hAnsi="Arial" w:cs="Arial"/>
          <w:b/>
        </w:rPr>
      </w:pPr>
    </w:p>
    <w:p w14:paraId="31826BE0" w14:textId="77777777" w:rsidR="00C44038" w:rsidRDefault="00C44038" w:rsidP="00435DB2">
      <w:pPr>
        <w:spacing w:line="480" w:lineRule="exact"/>
        <w:rPr>
          <w:rFonts w:ascii="Arial" w:hAnsi="Arial" w:cs="Arial"/>
          <w:b/>
        </w:rPr>
      </w:pPr>
    </w:p>
    <w:p w14:paraId="7371378E" w14:textId="77777777" w:rsidR="00C44038" w:rsidRDefault="00C44038" w:rsidP="00435DB2">
      <w:pPr>
        <w:spacing w:line="480" w:lineRule="exact"/>
        <w:rPr>
          <w:rFonts w:ascii="Arial" w:hAnsi="Arial" w:cs="Arial"/>
          <w:b/>
        </w:rPr>
      </w:pPr>
    </w:p>
    <w:p w14:paraId="596D31DA" w14:textId="77777777" w:rsidR="00C44038" w:rsidRDefault="00C44038" w:rsidP="00435DB2">
      <w:pPr>
        <w:spacing w:line="480" w:lineRule="exact"/>
        <w:rPr>
          <w:rFonts w:ascii="Arial" w:hAnsi="Arial" w:cs="Arial"/>
          <w:b/>
        </w:rPr>
      </w:pPr>
    </w:p>
    <w:p w14:paraId="4D1E6E5B" w14:textId="77777777" w:rsidR="00C44038" w:rsidRDefault="00C44038" w:rsidP="00435DB2">
      <w:pPr>
        <w:spacing w:line="480" w:lineRule="exact"/>
        <w:rPr>
          <w:rFonts w:ascii="Arial" w:hAnsi="Arial" w:cs="Arial"/>
          <w:b/>
        </w:rPr>
      </w:pPr>
    </w:p>
    <w:p w14:paraId="237C840F" w14:textId="77777777" w:rsidR="00C44038" w:rsidRDefault="00C44038" w:rsidP="00435DB2">
      <w:pPr>
        <w:spacing w:line="480" w:lineRule="exact"/>
        <w:rPr>
          <w:rFonts w:ascii="Arial" w:hAnsi="Arial" w:cs="Arial"/>
          <w:b/>
        </w:rPr>
      </w:pPr>
    </w:p>
    <w:p w14:paraId="7AE2F59C" w14:textId="77777777" w:rsidR="00C44038" w:rsidRDefault="00C44038" w:rsidP="00435DB2">
      <w:pPr>
        <w:spacing w:line="480" w:lineRule="exact"/>
        <w:rPr>
          <w:rFonts w:ascii="Arial" w:hAnsi="Arial" w:cs="Arial"/>
          <w:b/>
        </w:rPr>
      </w:pPr>
    </w:p>
    <w:p w14:paraId="6FF54A6B" w14:textId="77777777" w:rsidR="00C44038" w:rsidRDefault="00C44038" w:rsidP="00435DB2">
      <w:pPr>
        <w:spacing w:line="480" w:lineRule="exact"/>
        <w:rPr>
          <w:rFonts w:ascii="Arial" w:hAnsi="Arial" w:cs="Arial"/>
          <w:b/>
        </w:rPr>
      </w:pPr>
    </w:p>
    <w:p w14:paraId="3034E8AD" w14:textId="77777777" w:rsidR="00C44038" w:rsidRDefault="00C44038" w:rsidP="00435DB2">
      <w:pPr>
        <w:spacing w:line="480" w:lineRule="exact"/>
        <w:rPr>
          <w:rFonts w:ascii="Arial" w:hAnsi="Arial" w:cs="Arial"/>
          <w:b/>
        </w:rPr>
      </w:pPr>
    </w:p>
    <w:p w14:paraId="478DA438" w14:textId="743861B5" w:rsidR="008D1496" w:rsidRPr="00A74826" w:rsidRDefault="00C44038" w:rsidP="008D1496">
      <w:pPr>
        <w:autoSpaceDE w:val="0"/>
        <w:autoSpaceDN w:val="0"/>
        <w:adjustRightInd w:val="0"/>
        <w:spacing w:line="480" w:lineRule="exact"/>
        <w:jc w:val="left"/>
        <w:rPr>
          <w:rFonts w:ascii="Times New Roman" w:hAnsi="Times New Roman" w:cs="Times New Roman"/>
          <w:b/>
          <w:color w:val="000000" w:themeColor="text1"/>
        </w:rPr>
      </w:pPr>
      <w:r w:rsidRPr="00A74826">
        <w:rPr>
          <w:rFonts w:ascii="Times New Roman" w:hAnsi="Times New Roman" w:cs="Times New Roman"/>
          <w:b/>
          <w:kern w:val="0"/>
        </w:rPr>
        <w:t xml:space="preserve">Figure </w:t>
      </w:r>
      <w:r w:rsidR="00881DA3" w:rsidRPr="00A74826">
        <w:rPr>
          <w:rFonts w:ascii="Times New Roman" w:hAnsi="Times New Roman" w:cs="Times New Roman"/>
          <w:b/>
          <w:kern w:val="0"/>
        </w:rPr>
        <w:t>S</w:t>
      </w:r>
      <w:r w:rsidR="00254061" w:rsidRPr="00A74826">
        <w:rPr>
          <w:rFonts w:ascii="Times New Roman" w:hAnsi="Times New Roman" w:cs="Times New Roman"/>
          <w:b/>
          <w:kern w:val="0"/>
        </w:rPr>
        <w:t>5</w:t>
      </w:r>
      <w:r w:rsidRPr="00A74826">
        <w:rPr>
          <w:rFonts w:ascii="Times New Roman" w:hAnsi="Times New Roman" w:cs="Times New Roman"/>
          <w:b/>
          <w:kern w:val="0"/>
        </w:rPr>
        <w:t xml:space="preserve">. </w:t>
      </w:r>
      <w:r w:rsidR="008D1496" w:rsidRPr="00A74826">
        <w:rPr>
          <w:rFonts w:ascii="Times New Roman" w:hAnsi="Times New Roman" w:cs="Times New Roman"/>
          <w:b/>
          <w:color w:val="000000" w:themeColor="text1"/>
        </w:rPr>
        <w:t xml:space="preserve">A case of </w:t>
      </w:r>
      <w:r w:rsidR="00901504" w:rsidRPr="00A74826">
        <w:rPr>
          <w:rFonts w:ascii="Times New Roman" w:hAnsi="Times New Roman" w:cs="Times New Roman"/>
          <w:b/>
          <w:color w:val="000000" w:themeColor="text1"/>
        </w:rPr>
        <w:t xml:space="preserve">CUP </w:t>
      </w:r>
      <w:r w:rsidR="00BE04E7" w:rsidRPr="00A74826">
        <w:rPr>
          <w:rFonts w:ascii="Times New Roman" w:hAnsi="Times New Roman" w:cs="Times New Roman"/>
          <w:b/>
          <w:color w:val="000000" w:themeColor="text1"/>
        </w:rPr>
        <w:t xml:space="preserve">of the </w:t>
      </w:r>
      <w:r w:rsidR="00AC7049" w:rsidRPr="00A74826">
        <w:rPr>
          <w:rFonts w:ascii="Times New Roman" w:hAnsi="Times New Roman" w:cs="Times New Roman"/>
          <w:b/>
          <w:color w:val="000000" w:themeColor="text1"/>
        </w:rPr>
        <w:t xml:space="preserve">unfavorable subset </w:t>
      </w:r>
      <w:r w:rsidR="008D1496" w:rsidRPr="00A74826">
        <w:rPr>
          <w:rFonts w:ascii="Times New Roman" w:hAnsi="Times New Roman" w:cs="Times New Roman"/>
          <w:b/>
          <w:color w:val="000000" w:themeColor="text1"/>
        </w:rPr>
        <w:t>treated with nivolumab.</w:t>
      </w:r>
    </w:p>
    <w:p w14:paraId="4B4AD7BD" w14:textId="409E7225" w:rsidR="004E18D8" w:rsidRPr="004E18D8" w:rsidRDefault="008D1496" w:rsidP="008D1496">
      <w:pPr>
        <w:autoSpaceDE w:val="0"/>
        <w:autoSpaceDN w:val="0"/>
        <w:adjustRightInd w:val="0"/>
        <w:spacing w:line="480" w:lineRule="exact"/>
        <w:jc w:val="left"/>
        <w:rPr>
          <w:rFonts w:ascii="Times New Roman" w:hAnsi="Times New Roman" w:cs="Times New Roman"/>
        </w:rPr>
      </w:pPr>
      <w:r w:rsidRPr="00A74826">
        <w:rPr>
          <w:rFonts w:ascii="Times New Roman" w:hAnsi="Times New Roman" w:cs="Times New Roman"/>
          <w:color w:val="000000" w:themeColor="text1"/>
        </w:rPr>
        <w:t>(</w:t>
      </w:r>
      <w:r w:rsidRPr="00A74826">
        <w:rPr>
          <w:rFonts w:ascii="Times New Roman" w:hAnsi="Times New Roman" w:cs="Times New Roman"/>
          <w:b/>
          <w:color w:val="000000" w:themeColor="text1"/>
        </w:rPr>
        <w:t>a</w:t>
      </w:r>
      <w:r w:rsidRPr="00A74826">
        <w:rPr>
          <w:rFonts w:ascii="Times New Roman" w:hAnsi="Times New Roman" w:cs="Times New Roman"/>
          <w:color w:val="000000" w:themeColor="text1"/>
        </w:rPr>
        <w:t xml:space="preserve">) </w:t>
      </w:r>
      <w:r w:rsidRPr="00A74826">
        <w:rPr>
          <w:rFonts w:ascii="Times New Roman" w:hAnsi="Times New Roman" w:cs="Times New Roman"/>
        </w:rPr>
        <w:t xml:space="preserve">Positron emission tomography with </w:t>
      </w:r>
      <w:r w:rsidRPr="00A74826">
        <w:rPr>
          <w:rFonts w:ascii="Times New Roman" w:eastAsia="ＭＳ Ｐゴシック" w:hAnsi="Times New Roman" w:cs="Times New Roman"/>
          <w:color w:val="000000"/>
          <w:kern w:val="0"/>
          <w:bdr w:val="none" w:sz="0" w:space="0" w:color="auto" w:frame="1"/>
          <w:vertAlign w:val="superscript"/>
        </w:rPr>
        <w:t>18</w:t>
      </w:r>
      <w:r w:rsidRPr="00A74826">
        <w:rPr>
          <w:rFonts w:ascii="Times New Roman" w:eastAsia="ＭＳ Ｐゴシック" w:hAnsi="Times New Roman" w:cs="Times New Roman"/>
          <w:color w:val="000000"/>
          <w:kern w:val="0"/>
          <w:shd w:val="clear" w:color="auto" w:fill="FFFFFF"/>
        </w:rPr>
        <w:t>F-fluoro-2-deoxy-d-glucose</w:t>
      </w:r>
      <w:r w:rsidRPr="00A74826">
        <w:rPr>
          <w:rFonts w:ascii="Times New Roman" w:hAnsi="Times New Roman" w:cs="Times New Roman"/>
          <w:color w:val="000000" w:themeColor="text1"/>
        </w:rPr>
        <w:t xml:space="preserve"> scan showing metastases in multiple lymph nodes without an obvious primary site. (</w:t>
      </w:r>
      <w:r w:rsidRPr="00A74826">
        <w:rPr>
          <w:rFonts w:ascii="Times New Roman" w:hAnsi="Times New Roman" w:cs="Times New Roman"/>
          <w:b/>
          <w:color w:val="000000" w:themeColor="text1"/>
        </w:rPr>
        <w:t>b</w:t>
      </w:r>
      <w:r w:rsidRPr="00A74826">
        <w:rPr>
          <w:rFonts w:ascii="Times New Roman" w:hAnsi="Times New Roman" w:cs="Times New Roman"/>
          <w:color w:val="000000" w:themeColor="text1"/>
        </w:rPr>
        <w:t xml:space="preserve">) </w:t>
      </w:r>
      <w:r w:rsidR="0058575A" w:rsidRPr="00A74826">
        <w:rPr>
          <w:rFonts w:ascii="Times New Roman" w:hAnsi="Times New Roman" w:cs="Times New Roman"/>
          <w:color w:val="000000" w:themeColor="text1"/>
        </w:rPr>
        <w:t>hematoxylin-eosin (</w:t>
      </w:r>
      <w:r w:rsidRPr="00A74826">
        <w:rPr>
          <w:rFonts w:ascii="Times New Roman" w:hAnsi="Times New Roman" w:cs="Times New Roman"/>
          <w:color w:val="000000" w:themeColor="text1"/>
        </w:rPr>
        <w:t>HE</w:t>
      </w:r>
      <w:r w:rsidR="0058575A" w:rsidRPr="00A74826">
        <w:rPr>
          <w:rFonts w:ascii="Times New Roman" w:hAnsi="Times New Roman" w:cs="Times New Roman"/>
          <w:color w:val="000000" w:themeColor="text1"/>
        </w:rPr>
        <w:t>)</w:t>
      </w:r>
      <w:r w:rsidRPr="00A74826">
        <w:rPr>
          <w:rFonts w:ascii="Times New Roman" w:hAnsi="Times New Roman" w:cs="Times New Roman"/>
          <w:color w:val="000000" w:themeColor="text1"/>
        </w:rPr>
        <w:t xml:space="preserve"> staining as well as immunohistochemical analysis of CD8 and </w:t>
      </w:r>
      <w:r w:rsidR="0058575A" w:rsidRPr="00A74826">
        <w:rPr>
          <w:rFonts w:ascii="Times New Roman" w:hAnsi="Times New Roman" w:cs="Times New Roman"/>
          <w:color w:val="000000" w:themeColor="text1"/>
        </w:rPr>
        <w:t>programmed cell death–ligand 1 (</w:t>
      </w:r>
      <w:r w:rsidRPr="00A74826">
        <w:rPr>
          <w:rFonts w:ascii="Times New Roman" w:hAnsi="Times New Roman" w:cs="Times New Roman"/>
          <w:color w:val="000000" w:themeColor="text1"/>
        </w:rPr>
        <w:t>PD-L1</w:t>
      </w:r>
      <w:r w:rsidR="0058575A" w:rsidRPr="00A74826">
        <w:rPr>
          <w:rFonts w:ascii="Times New Roman" w:hAnsi="Times New Roman" w:cs="Times New Roman"/>
          <w:color w:val="000000" w:themeColor="text1"/>
        </w:rPr>
        <w:t>)</w:t>
      </w:r>
      <w:r w:rsidRPr="00A74826">
        <w:rPr>
          <w:rFonts w:ascii="Times New Roman" w:hAnsi="Times New Roman" w:cs="Times New Roman"/>
          <w:color w:val="000000" w:themeColor="text1"/>
        </w:rPr>
        <w:t xml:space="preserve"> for tumor biopsy tissue. CD8</w:t>
      </w:r>
      <w:r w:rsidRPr="00A74826">
        <w:rPr>
          <w:rFonts w:ascii="Times New Roman" w:hAnsi="Times New Roman" w:cs="Times New Roman"/>
          <w:color w:val="000000" w:themeColor="text1"/>
          <w:vertAlign w:val="superscript"/>
        </w:rPr>
        <w:t xml:space="preserve">+ </w:t>
      </w:r>
      <w:r w:rsidR="0058575A" w:rsidRPr="00A74826">
        <w:rPr>
          <w:rFonts w:ascii="Times New Roman" w:hAnsi="Times New Roman" w:cs="Times New Roman"/>
          <w:color w:val="000000" w:themeColor="text1"/>
        </w:rPr>
        <w:t>tumor-infiltrating lymphocyte (T</w:t>
      </w:r>
      <w:r w:rsidRPr="00A74826">
        <w:rPr>
          <w:rFonts w:ascii="Times New Roman" w:hAnsi="Times New Roman" w:cs="Times New Roman"/>
          <w:color w:val="000000" w:themeColor="text1"/>
        </w:rPr>
        <w:t>IL</w:t>
      </w:r>
      <w:r w:rsidR="0058575A" w:rsidRPr="00A74826">
        <w:rPr>
          <w:rFonts w:ascii="Times New Roman" w:hAnsi="Times New Roman" w:cs="Times New Roman"/>
          <w:color w:val="000000" w:themeColor="text1"/>
        </w:rPr>
        <w:t>)</w:t>
      </w:r>
      <w:r w:rsidRPr="00A74826">
        <w:rPr>
          <w:rFonts w:ascii="Times New Roman" w:hAnsi="Times New Roman" w:cs="Times New Roman"/>
          <w:color w:val="000000" w:themeColor="text1"/>
        </w:rPr>
        <w:t xml:space="preserve"> density was 824/mm</w:t>
      </w:r>
      <w:r w:rsidRPr="00A74826">
        <w:rPr>
          <w:rFonts w:ascii="Times New Roman" w:hAnsi="Times New Roman" w:cs="Times New Roman"/>
          <w:color w:val="000000" w:themeColor="text1"/>
          <w:vertAlign w:val="superscript"/>
        </w:rPr>
        <w:t>2</w:t>
      </w:r>
      <w:r w:rsidRPr="00A74826">
        <w:rPr>
          <w:rFonts w:ascii="Times New Roman" w:hAnsi="Times New Roman" w:cs="Times New Roman"/>
          <w:color w:val="000000" w:themeColor="text1"/>
        </w:rPr>
        <w:t>, and the PD-L1 immune cell proportion score (</w:t>
      </w:r>
      <w:r w:rsidRPr="00A74826">
        <w:rPr>
          <w:rFonts w:ascii="Times New Roman" w:hAnsi="Times New Roman" w:cs="Times New Roman"/>
          <w:kern w:val="0"/>
        </w:rPr>
        <w:t>the percentage of PD-L1</w:t>
      </w:r>
      <w:r w:rsidRPr="00A74826">
        <w:rPr>
          <w:rFonts w:ascii="Times New Roman" w:hAnsi="Times New Roman" w:cs="Times New Roman"/>
        </w:rPr>
        <w:t>–</w:t>
      </w:r>
      <w:r w:rsidRPr="00A74826">
        <w:rPr>
          <w:rFonts w:ascii="Times New Roman" w:hAnsi="Times New Roman" w:cs="Times New Roman"/>
          <w:kern w:val="0"/>
        </w:rPr>
        <w:t>positive immune cells occupying the tumor</w:t>
      </w:r>
      <w:r w:rsidRPr="00A74826">
        <w:rPr>
          <w:rFonts w:ascii="Times New Roman" w:hAnsi="Times New Roman" w:cs="Times New Roman"/>
          <w:color w:val="000000" w:themeColor="text1"/>
        </w:rPr>
        <w:t xml:space="preserve">) was 40% but </w:t>
      </w:r>
      <w:r w:rsidR="00BE04E7" w:rsidRPr="00A74826">
        <w:rPr>
          <w:rFonts w:ascii="Times New Roman" w:hAnsi="Times New Roman" w:cs="Times New Roman"/>
          <w:color w:val="000000" w:themeColor="text1"/>
        </w:rPr>
        <w:t xml:space="preserve">the </w:t>
      </w:r>
      <w:r w:rsidRPr="00A74826">
        <w:rPr>
          <w:rFonts w:ascii="Times New Roman" w:hAnsi="Times New Roman" w:cs="Times New Roman"/>
          <w:color w:val="000000" w:themeColor="text1"/>
        </w:rPr>
        <w:t>PD-L1 tumor proportion score was 0%</w:t>
      </w:r>
      <w:r w:rsidR="0058575A" w:rsidRPr="00A74826">
        <w:rPr>
          <w:rFonts w:ascii="Times New Roman" w:hAnsi="Times New Roman" w:cs="Times New Roman"/>
          <w:color w:val="000000" w:themeColor="text1"/>
        </w:rPr>
        <w:t xml:space="preserve"> (PD-L1 combined positive score was 1</w:t>
      </w:r>
      <w:r w:rsidR="00BE04E7" w:rsidRPr="00A74826">
        <w:rPr>
          <w:rFonts w:ascii="Times New Roman" w:hAnsi="Times New Roman" w:cs="Times New Roman"/>
          <w:color w:val="000000" w:themeColor="text1"/>
        </w:rPr>
        <w:t>–</w:t>
      </w:r>
      <w:r w:rsidR="0058575A" w:rsidRPr="00A74826">
        <w:rPr>
          <w:rFonts w:ascii="Times New Roman" w:hAnsi="Times New Roman" w:cs="Times New Roman"/>
          <w:color w:val="000000" w:themeColor="text1"/>
        </w:rPr>
        <w:t>9%)</w:t>
      </w:r>
      <w:r w:rsidRPr="00A74826">
        <w:rPr>
          <w:rFonts w:ascii="Times New Roman" w:hAnsi="Times New Roman" w:cs="Times New Roman"/>
          <w:color w:val="000000" w:themeColor="text1"/>
        </w:rPr>
        <w:t>. The boxed regions of the upper panels are shown at higher m</w:t>
      </w:r>
      <w:bookmarkStart w:id="0" w:name="_GoBack"/>
      <w:bookmarkEnd w:id="0"/>
      <w:r w:rsidRPr="00A74826">
        <w:rPr>
          <w:rFonts w:ascii="Times New Roman" w:hAnsi="Times New Roman" w:cs="Times New Roman"/>
          <w:color w:val="000000" w:themeColor="text1"/>
        </w:rPr>
        <w:t>agnification in the lower panels. Scale bars, 100 µm. (</w:t>
      </w:r>
      <w:r w:rsidRPr="00A74826">
        <w:rPr>
          <w:rFonts w:ascii="Times New Roman" w:hAnsi="Times New Roman" w:cs="Times New Roman"/>
          <w:b/>
          <w:color w:val="000000" w:themeColor="text1"/>
        </w:rPr>
        <w:t>c</w:t>
      </w:r>
      <w:r w:rsidRPr="00A74826">
        <w:rPr>
          <w:rFonts w:ascii="Times New Roman" w:hAnsi="Times New Roman" w:cs="Times New Roman"/>
          <w:color w:val="000000" w:themeColor="text1"/>
        </w:rPr>
        <w:t xml:space="preserve">) </w:t>
      </w:r>
      <w:r w:rsidRPr="00A74826">
        <w:rPr>
          <w:rFonts w:ascii="Times New Roman" w:eastAsia="メイリオ" w:hAnsi="Times New Roman" w:cs="Times New Roman"/>
          <w:color w:val="000000" w:themeColor="text1"/>
        </w:rPr>
        <w:t>Computed tomography scans showing tumor regression after nivolumab treatment. Left, middle, and right panels correspond to 22 weeks before, 2 weeks before, and 4 weeks after the start of nivolumab administration, respectively. The tumor burden increased during platinum-doublet chemotherapy (from left to middle), but it decreased with nivolumab treatment (fr</w:t>
      </w:r>
      <w:r w:rsidRPr="00A74826">
        <w:rPr>
          <w:rFonts w:ascii="Times New Roman" w:eastAsia="メイリオ" w:hAnsi="Times New Roman" w:cs="Times New Roman"/>
        </w:rPr>
        <w:t>om middle to right). Red arrows indicate the tumor lesion. Scale bars, 1 cm.</w:t>
      </w:r>
      <w:r w:rsidR="005F6D6E" w:rsidRPr="00A74826">
        <w:rPr>
          <w:rFonts w:ascii="Times New Roman" w:eastAsia="メイリオ" w:hAnsi="Times New Roman" w:cs="Times New Roman"/>
        </w:rPr>
        <w:t xml:space="preserve"> CUP, cancer of unknown primary site.</w:t>
      </w:r>
    </w:p>
    <w:sectPr w:rsidR="004E18D8" w:rsidRPr="004E18D8" w:rsidSect="00435DB2">
      <w:pgSz w:w="11900" w:h="16840"/>
      <w:pgMar w:top="720" w:right="720" w:bottom="720" w:left="720" w:header="851" w:footer="992" w:gutter="0"/>
      <w:lnNumType w:countBy="1" w:restart="continuous"/>
      <w:cols w:space="425"/>
      <w:docGrid w:type="lines"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Ｐゴシック">
    <w:altName w:val="MS PGothic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メイリオ">
    <w:altName w:val="Meiryo"/>
    <w:panose1 w:val="020B0604030504040204"/>
    <w:charset w:val="80"/>
    <w:family w:val="swiss"/>
    <w:pitch w:val="variable"/>
    <w:sig w:usb0="E00002FF" w:usb1="6AC7FFFF" w:usb2="08000012" w:usb3="00000000" w:csb0="0002009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9"/>
  <w:bordersDoNotSurroundHeader/>
  <w:bordersDoNotSurroundFooter/>
  <w:proofState w:spelling="clean" w:grammar="clean"/>
  <w:defaultTabStop w:val="960"/>
  <w:drawingGridHorizontalSpacing w:val="120"/>
  <w:drawingGridVerticalSpacing w:val="20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4AEF"/>
    <w:rsid w:val="00046CF7"/>
    <w:rsid w:val="00080DC4"/>
    <w:rsid w:val="000C08E6"/>
    <w:rsid w:val="00134C3F"/>
    <w:rsid w:val="001364F5"/>
    <w:rsid w:val="001463AA"/>
    <w:rsid w:val="00180D50"/>
    <w:rsid w:val="001A5B59"/>
    <w:rsid w:val="001B3962"/>
    <w:rsid w:val="001B65EA"/>
    <w:rsid w:val="00254061"/>
    <w:rsid w:val="0026254F"/>
    <w:rsid w:val="002A7EB8"/>
    <w:rsid w:val="002D47AD"/>
    <w:rsid w:val="00306795"/>
    <w:rsid w:val="0035064E"/>
    <w:rsid w:val="0036541F"/>
    <w:rsid w:val="00390827"/>
    <w:rsid w:val="00397E1F"/>
    <w:rsid w:val="003C5DA2"/>
    <w:rsid w:val="00420CF7"/>
    <w:rsid w:val="00435DB2"/>
    <w:rsid w:val="00471731"/>
    <w:rsid w:val="00476DC7"/>
    <w:rsid w:val="004E18D8"/>
    <w:rsid w:val="00577E27"/>
    <w:rsid w:val="0058575A"/>
    <w:rsid w:val="005E6E2A"/>
    <w:rsid w:val="005F6D6E"/>
    <w:rsid w:val="006236D7"/>
    <w:rsid w:val="00654280"/>
    <w:rsid w:val="00671E7C"/>
    <w:rsid w:val="00687B7C"/>
    <w:rsid w:val="006A4EE3"/>
    <w:rsid w:val="006D6042"/>
    <w:rsid w:val="006E522D"/>
    <w:rsid w:val="006F5CEE"/>
    <w:rsid w:val="00730D7F"/>
    <w:rsid w:val="00751CA2"/>
    <w:rsid w:val="007D774F"/>
    <w:rsid w:val="00881DA3"/>
    <w:rsid w:val="008A035C"/>
    <w:rsid w:val="008A7B95"/>
    <w:rsid w:val="008D1496"/>
    <w:rsid w:val="008D2BAB"/>
    <w:rsid w:val="008E06D5"/>
    <w:rsid w:val="00901504"/>
    <w:rsid w:val="009327B1"/>
    <w:rsid w:val="00974CC8"/>
    <w:rsid w:val="009864AF"/>
    <w:rsid w:val="00990296"/>
    <w:rsid w:val="009928A4"/>
    <w:rsid w:val="009B13FC"/>
    <w:rsid w:val="00A22126"/>
    <w:rsid w:val="00A2764D"/>
    <w:rsid w:val="00A74826"/>
    <w:rsid w:val="00A75F06"/>
    <w:rsid w:val="00AB5D19"/>
    <w:rsid w:val="00AC7049"/>
    <w:rsid w:val="00B53547"/>
    <w:rsid w:val="00B93515"/>
    <w:rsid w:val="00BB2597"/>
    <w:rsid w:val="00BB5389"/>
    <w:rsid w:val="00BE04E7"/>
    <w:rsid w:val="00C0637F"/>
    <w:rsid w:val="00C37620"/>
    <w:rsid w:val="00C44038"/>
    <w:rsid w:val="00C57A38"/>
    <w:rsid w:val="00C818F6"/>
    <w:rsid w:val="00C964D3"/>
    <w:rsid w:val="00CE4AEF"/>
    <w:rsid w:val="00CF6E58"/>
    <w:rsid w:val="00D31A39"/>
    <w:rsid w:val="00D4020C"/>
    <w:rsid w:val="00D43AB2"/>
    <w:rsid w:val="00D4648D"/>
    <w:rsid w:val="00D93987"/>
    <w:rsid w:val="00DB3BDF"/>
    <w:rsid w:val="00DE30D6"/>
    <w:rsid w:val="00E03837"/>
    <w:rsid w:val="00E334C3"/>
    <w:rsid w:val="00E44DBA"/>
    <w:rsid w:val="00E56EC1"/>
    <w:rsid w:val="00E95E18"/>
    <w:rsid w:val="00F52956"/>
    <w:rsid w:val="00F7487B"/>
    <w:rsid w:val="00FB4E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1BB7FE9B"/>
  <w14:defaultImageDpi w14:val="32767"/>
  <w15:chartTrackingRefBased/>
  <w15:docId w15:val="{A066D5BB-4BDA-A847-9F3F-23EA4D3C10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line number"/>
    <w:basedOn w:val="a0"/>
    <w:uiPriority w:val="99"/>
    <w:semiHidden/>
    <w:unhideWhenUsed/>
    <w:rsid w:val="00435DB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ホワイ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Yu Gothic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Yu Mincho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187</Words>
  <Characters>1072</Characters>
  <Application>Microsoft Office Word</Application>
  <DocSecurity>0</DocSecurity>
  <Lines>8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haratani koji</dc:creator>
  <cp:keywords/>
  <dc:description/>
  <cp:lastModifiedBy>haratani koji</cp:lastModifiedBy>
  <cp:revision>2</cp:revision>
  <cp:lastPrinted>2019-02-17T04:50:00Z</cp:lastPrinted>
  <dcterms:created xsi:type="dcterms:W3CDTF">2019-08-11T16:15:00Z</dcterms:created>
  <dcterms:modified xsi:type="dcterms:W3CDTF">2019-08-11T16:15:00Z</dcterms:modified>
</cp:coreProperties>
</file>