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F6" w:rsidRPr="00E21BEC" w:rsidRDefault="000104F6" w:rsidP="0052009D">
      <w:pPr>
        <w:pStyle w:val="MSHpreferred"/>
        <w:rPr>
          <w:b/>
        </w:rPr>
      </w:pPr>
      <w:r w:rsidRPr="00E21BEC">
        <w:rPr>
          <w:b/>
        </w:rPr>
        <w:t>Supplemental Table 1</w:t>
      </w:r>
    </w:p>
    <w:p w:rsidR="000104F6" w:rsidRPr="00E21BEC" w:rsidRDefault="000104F6" w:rsidP="0052009D">
      <w:pPr>
        <w:pStyle w:val="MSHpreferred"/>
      </w:pPr>
      <w:r w:rsidRPr="00E21BEC">
        <w:t xml:space="preserve">Full listing of data collection variables determined </w:t>
      </w:r>
      <w:r w:rsidRPr="00E21BEC">
        <w:rPr>
          <w:i/>
        </w:rPr>
        <w:t>a priori</w:t>
      </w:r>
      <w:r w:rsidRPr="00E21BEC">
        <w:t xml:space="preserve"> from clinical experience, sorted alphabetically.</w:t>
      </w:r>
    </w:p>
    <w:tbl>
      <w:tblPr>
        <w:tblStyle w:val="TableGrid"/>
        <w:tblW w:w="8930" w:type="dxa"/>
        <w:tblLook w:val="04A0"/>
      </w:tblPr>
      <w:tblGrid>
        <w:gridCol w:w="8930"/>
      </w:tblGrid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Additional comments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Age of patient at time of admission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Antibiotics within one month of admission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Antibiotics within three months of admission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Any admission for GEC symptoms?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Budesonide administered vs. not administered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Budesonide administration: duration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Budesonide administration: end date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Budesonide administration: normalized peak dose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Budesonide administration: peak dose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Budesonide administration: reason for discontinuation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Budesonide administration: start date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Budesonide administration: was </w:t>
            </w:r>
            <w:proofErr w:type="spellStart"/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uptitration</w:t>
            </w:r>
            <w:proofErr w:type="spellEnd"/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necessary?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CPI administration: reason for discontinuation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CTCAE grade at admission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Date of birth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Date of first CPI administration (most proximate to GEC)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Date of first medical evaluation at the Massachusetts General Hospital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Date of last CPI administration prior to symptoms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Date of symptom onset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Development of additional irAEs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Diagnosis: colitis, enterocolitis, </w:t>
            </w:r>
            <w:proofErr w:type="spellStart"/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gastroenterocolitis</w:t>
            </w:r>
            <w:proofErr w:type="spellEnd"/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ECOG performance status: at admission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ECOG performance status: at initial CPI administration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ECOG performance status: worst over clinical course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Endoscopy: Date performed, initial evaluation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Endoscopy: Findings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Endoscopy: Histopathologic findings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Endoscopy: Mayo Endoscopic Score, initial evaluation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Endoscopy: Modality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If admitted: how many admissions for GEC symptoms?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Immunosuppressive regimen: alternative immunosuppressive regimen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Immunosuppressive regimen: complications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Immunosuppressive regimen: exposure to high-dose steroids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Immunosuppressive regimen: exposure to low-dose steroids only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Immunosuppressive regimen: </w:t>
            </w:r>
            <w:proofErr w:type="spellStart"/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TNF</w:t>
            </w:r>
            <w:r w:rsidRPr="009E75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α</w:t>
            </w: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i</w:t>
            </w:r>
            <w:proofErr w:type="spellEnd"/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administration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Infectious disease testing: assays and results, inpatient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Infectious disease testing: assays and results, outpatient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Inpatient immunosuppressive regimen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Laboratory testing: Absolute eosinophil count (upon initial medical evaluation after symptom onset)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Laboratory testing: Absolute lymphocyte count (upon initial medical evaluation after symptom onset)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Laboratory testing: Absolute neutrophil count (upon initial medical evaluation after symptom onset)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lastRenderedPageBreak/>
              <w:t>Laboratory testing: Albumin (upon initial medical evaluation after symptom onset)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Laboratory testing: Blood urea nitrogen (upon initial medical evaluation after symptom onset)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Laboratory testing: C-reactive protein (upon initial medical evaluation after symptom onset)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Laboratory testing: Erythrocyte sedimentation rate (upon initial medical evaluation after symptom onset)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Laboratory testing: Ferritin level (upon initial medical evaluation after symptom onset)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Laboratory testing: Hematocrit (upon initial medical evaluation after symptom onset)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Laboratory testing: Hemoglobin (upon initial medical evaluation after symptom onset)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Laboratory testing: Lactate dehydrogenase (upon initial medical evaluation after symptom onset)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Laboratory testing: Leukocyte count (upon initial medical evaluation after symptom onset)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Laboratory testing: Platelet count (upon initial medical evaluation after symptom onset)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Laboratory testing: Relative eosinophil count (upon initial medical evaluation after symptom onset)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Laboratory testing: Relative lymphocyte count (upon initial medical evaluation after symptom onset)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Laboratory testing: Relative neutrophil count (upon initial medical evaluation after symptom onset)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Laboratory testing: Serum chloride (upon initial medical evaluation after symptom onset)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Laboratory testing: Serum creatinine (upon initial medical evaluation after symptom onset)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Laboratory testing: Serum potassium (upon initial medical evaluation after symptom onset)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Laboratory testing: Serum sodium (upon initial medical evaluation after symptom onset)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Laboratory testing: Tissue transglutaminase IgA (upon initial medical evaluation after symptom onset)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Length of stay, if any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Non-glucocorticoid hormone administration within one year of admission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Number of additional doses of CPI after symptom onset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Number of cycles prior to colitis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Oncologic outcomes at time of symptom onset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Oncologic outcomes: clinical course after colitis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Oncologic outcomes: most recent response to CPI to date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Oncologic outcomes: overall survival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Oncologic outcomes: progression-free survival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Oncologic outcomes: time to treatment failure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Outcomes, endoscopy: date of follow-up evaluation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Outcomes, endoscopy: findings at follow-up evaluation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Outcomes, endoscopy: histopathologic findings at follow-up evaluation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Outcomes, endoscopy: modality of follow-up evaluation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Outcomes, radiography: date of follow-up evaluation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Outcomes, radiography: findings at follow-up evaluation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Outcomes: date of first resolution to grade 1 symptoms or better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Outcomes: interventions and course at one month from symptom resolution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Outcomes: interventions and course at six months from symptom resolution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Outcomes: interventions and course at three months from symptom resolution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Outcomes: interventions and course at twelve months from symptom resolution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Outcomes: interventions and course at two months from symptom resolution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Outcomes: recrudescence at one month from symptom resolution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Outcomes: recrudescence at six months from symptom resolution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Outcomes: recrudescence at three months from symptom resolution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lastRenderedPageBreak/>
              <w:t>Outcomes: recrudescence at twelve months from symptom resolution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Outcomes: recrudescence at two months from symptom resolution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Outcomes: time to first resolution from immunosuppressive regimen initiation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Outcomes: time to first resolution from symptom onset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Presence of abdominal </w:t>
            </w:r>
            <w:r w:rsidR="0096204F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visceral </w:t>
            </w: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metastases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Presence of gastrointestinal metastases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Presence of hepatic metastases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Prior history of autoimmune disease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Prior history of inflammatory bowel disease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Prior irAEs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Prior treatments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Proton pump inhibitor use within one year of admission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Radiographic testing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Recorded electronic medical record ethnicity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Regimen of checkpoint inhibition received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Serotonin modulator use within one year of admission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Sex of patient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Stage of cancer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Study identifier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Symptoms/signs at presentation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Time to first medical contact from symptom onset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Time to first medical evaluation from initial CPI administration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Time to first medical evaluation from most recent CPI administration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Time to symptom onset from initial CPI administration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Time to symptom onset from most recent CPI administration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Treatment: Date of first high-dose steroid exposure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Treatment: date of first steroid exposure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Treatment: date of steroid discontinuation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Treatment: symptom duration until any treatment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Treatment: systemic steroid administration prior to budesonide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Treatment: time from first CPI administration to first steroid exposure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Treatment: time from initial CPI administration to first high-dose steroid exposure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Treatment: Time from symptom onset to first high-dose steroid exposure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Treatment: time from symptom onset to first steroid exposure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Treatment: were non-immunosuppressive medications used for symptom control?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Tumor: established genetic markers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Tumor: microsatellite status</w:t>
            </w:r>
            <w:bookmarkStart w:id="0" w:name="_GoBack"/>
            <w:bookmarkEnd w:id="0"/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Tumor: PD-1 expression level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Type of cancer</w:t>
            </w:r>
          </w:p>
        </w:tc>
      </w:tr>
      <w:tr w:rsidR="00B42EA3" w:rsidRPr="009E75BE" w:rsidTr="00FF5BF0">
        <w:trPr>
          <w:trHeight w:val="285"/>
        </w:trPr>
        <w:tc>
          <w:tcPr>
            <w:tcW w:w="8930" w:type="dxa"/>
            <w:noWrap/>
            <w:hideMark/>
          </w:tcPr>
          <w:p w:rsidR="00B42EA3" w:rsidRPr="009E75BE" w:rsidRDefault="00B42EA3" w:rsidP="00FF5BF0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E75BE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Weight at budesonide administration</w:t>
            </w:r>
          </w:p>
        </w:tc>
      </w:tr>
    </w:tbl>
    <w:p w:rsidR="000104F6" w:rsidRPr="00E21BEC" w:rsidRDefault="000104F6" w:rsidP="0052009D">
      <w:pPr>
        <w:pStyle w:val="MSHpreferred"/>
      </w:pPr>
      <w:r w:rsidRPr="00E21BEC">
        <w:br w:type="page"/>
      </w:r>
    </w:p>
    <w:p w:rsidR="0072388F" w:rsidRDefault="0072388F" w:rsidP="0072388F">
      <w:pPr>
        <w:pStyle w:val="MSHpreferred"/>
        <w:rPr>
          <w:bCs/>
        </w:rPr>
      </w:pPr>
      <w:r>
        <w:rPr>
          <w:b/>
        </w:rPr>
        <w:lastRenderedPageBreak/>
        <w:t>Supplemental Table 2</w:t>
      </w:r>
    </w:p>
    <w:p w:rsidR="0072388F" w:rsidRDefault="0072388F" w:rsidP="0072388F">
      <w:pPr>
        <w:pStyle w:val="MSHpreferred"/>
        <w:rPr>
          <w:bCs/>
        </w:rPr>
      </w:pPr>
      <w:proofErr w:type="gramStart"/>
      <w:r>
        <w:rPr>
          <w:bCs/>
        </w:rPr>
        <w:t>Additional characteristics of prior irAEs.</w:t>
      </w:r>
      <w:proofErr w:type="gramEnd"/>
      <w:r>
        <w:rPr>
          <w:bCs/>
        </w:rPr>
        <w:t xml:space="preserve"> Prior irAEs defined as symptom manifestations of any adverse reaction felt related to CPI therapy, before onset of colitis. Any prior gastrointestinal irAEs occurred while the patient was receiving a different CPI regimen. 3/38 (7.9%) patients had multiple prior irAEs.</w:t>
      </w:r>
    </w:p>
    <w:p w:rsidR="0072388F" w:rsidRPr="00E21BEC" w:rsidRDefault="0072388F" w:rsidP="0072388F">
      <w:pPr>
        <w:pStyle w:val="MSHpreferred"/>
      </w:pPr>
    </w:p>
    <w:tbl>
      <w:tblPr>
        <w:tblW w:w="8688" w:type="dxa"/>
        <w:tblLook w:val="04A0"/>
      </w:tblPr>
      <w:tblGrid>
        <w:gridCol w:w="271"/>
        <w:gridCol w:w="3257"/>
        <w:gridCol w:w="1629"/>
        <w:gridCol w:w="21"/>
        <w:gridCol w:w="1599"/>
        <w:gridCol w:w="21"/>
        <w:gridCol w:w="1890"/>
      </w:tblGrid>
      <w:tr w:rsidR="0072388F" w:rsidRPr="00E21BEC" w:rsidTr="004A52A4">
        <w:trPr>
          <w:trHeight w:val="285"/>
        </w:trPr>
        <w:tc>
          <w:tcPr>
            <w:tcW w:w="8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88F" w:rsidRPr="00E21BEC" w:rsidRDefault="0072388F" w:rsidP="004A52A4">
            <w:pPr>
              <w:pStyle w:val="MSHpreferred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21BE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Table S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2: Features of prior irAEs</w:t>
            </w:r>
            <w:r w:rsidRPr="00E21BE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2388F" w:rsidRPr="00E21BEC" w:rsidTr="004A52A4">
        <w:trPr>
          <w:trHeight w:val="285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2388F" w:rsidRPr="00E21BEC" w:rsidRDefault="0072388F" w:rsidP="004A52A4">
            <w:pPr>
              <w:pStyle w:val="MSHpreferred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2388F" w:rsidRPr="00E21BEC" w:rsidRDefault="0072388F" w:rsidP="004A52A4">
            <w:pPr>
              <w:pStyle w:val="MSHpreferred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21BEC">
              <w:rPr>
                <w:rFonts w:eastAsia="Times New Roman"/>
                <w:bCs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8F" w:rsidRPr="00E21BEC" w:rsidRDefault="0072388F" w:rsidP="004A52A4">
            <w:pPr>
              <w:pStyle w:val="MSHpreferred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Microscopic colitis 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2388F" w:rsidRPr="00E21BEC" w:rsidRDefault="0072388F" w:rsidP="004A52A4">
            <w:pPr>
              <w:pStyle w:val="MSHpreferred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Non-microscopic colitis</w:t>
            </w:r>
          </w:p>
        </w:tc>
      </w:tr>
      <w:tr w:rsidR="0072388F" w:rsidRPr="00E21BEC" w:rsidTr="004A52A4">
        <w:trPr>
          <w:trHeight w:val="40"/>
        </w:trPr>
        <w:tc>
          <w:tcPr>
            <w:tcW w:w="8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8F" w:rsidRPr="00E21BEC" w:rsidRDefault="0072388F" w:rsidP="004A52A4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Ocular</w:t>
            </w:r>
          </w:p>
        </w:tc>
      </w:tr>
      <w:tr w:rsidR="0072388F" w:rsidRPr="00E21BEC" w:rsidTr="004A52A4">
        <w:trPr>
          <w:trHeight w:val="53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8F" w:rsidRPr="00E21BEC" w:rsidRDefault="0072388F" w:rsidP="004A52A4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21BEC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88F" w:rsidRPr="00E21BEC" w:rsidRDefault="0072388F" w:rsidP="004A52A4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Episcleritis</w:t>
            </w:r>
            <w:proofErr w:type="spellEnd"/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88F" w:rsidRPr="00E21BEC" w:rsidRDefault="0072388F" w:rsidP="004A52A4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1/38 (2.6%)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88F" w:rsidRPr="00E21BEC" w:rsidRDefault="0072388F" w:rsidP="004A52A4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0/13 (0.0%)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88F" w:rsidRPr="00E21BEC" w:rsidRDefault="0072388F" w:rsidP="004A52A4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1/25 (4.0%)</w:t>
            </w:r>
          </w:p>
        </w:tc>
      </w:tr>
      <w:tr w:rsidR="0072388F" w:rsidRPr="00E21BEC" w:rsidTr="004A52A4">
        <w:trPr>
          <w:trHeight w:val="40"/>
        </w:trPr>
        <w:tc>
          <w:tcPr>
            <w:tcW w:w="8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8F" w:rsidRPr="00E21BEC" w:rsidRDefault="0072388F" w:rsidP="004A52A4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Pulmonary</w:t>
            </w:r>
          </w:p>
        </w:tc>
      </w:tr>
      <w:tr w:rsidR="0072388F" w:rsidRPr="00E21BEC" w:rsidTr="004A52A4">
        <w:trPr>
          <w:trHeight w:val="53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8F" w:rsidRPr="00E21BEC" w:rsidRDefault="0072388F" w:rsidP="004A52A4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21BEC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88F" w:rsidRPr="00E21BEC" w:rsidRDefault="0072388F" w:rsidP="004A52A4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Pneumonitis</w:t>
            </w:r>
            <w:proofErr w:type="spellEnd"/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88F" w:rsidRPr="00E21BEC" w:rsidRDefault="0072388F" w:rsidP="004A52A4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2/38 (5.3%)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88F" w:rsidRPr="00E21BEC" w:rsidRDefault="0072388F" w:rsidP="004A52A4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0/13 (0.0%)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88F" w:rsidRPr="00E21BEC" w:rsidRDefault="0072388F" w:rsidP="004A52A4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2/25 (8.0%)</w:t>
            </w:r>
          </w:p>
        </w:tc>
      </w:tr>
      <w:tr w:rsidR="0072388F" w:rsidRPr="00E21BEC" w:rsidTr="004A52A4">
        <w:trPr>
          <w:trHeight w:val="71"/>
        </w:trPr>
        <w:tc>
          <w:tcPr>
            <w:tcW w:w="8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88F" w:rsidRDefault="0072388F" w:rsidP="004A52A4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Gastrointestinal</w:t>
            </w:r>
          </w:p>
        </w:tc>
      </w:tr>
      <w:tr w:rsidR="0072388F" w:rsidRPr="00E21BEC" w:rsidTr="004A52A4">
        <w:trPr>
          <w:trHeight w:val="53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88F" w:rsidRPr="00E21BEC" w:rsidRDefault="0072388F" w:rsidP="004A52A4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88F" w:rsidRDefault="0072388F" w:rsidP="004A52A4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Hepatitis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88F" w:rsidRPr="00E21BEC" w:rsidRDefault="0072388F" w:rsidP="004A52A4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2/38 (5.3%)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88F" w:rsidRPr="00E21BEC" w:rsidRDefault="0072388F" w:rsidP="004A52A4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1/13 (7.7%)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88F" w:rsidRPr="00E21BEC" w:rsidRDefault="0072388F" w:rsidP="004A52A4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1/25 (4.0%)</w:t>
            </w:r>
          </w:p>
        </w:tc>
      </w:tr>
      <w:tr w:rsidR="0072388F" w:rsidRPr="00E21BEC" w:rsidTr="004A52A4">
        <w:trPr>
          <w:trHeight w:val="53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8F" w:rsidRPr="00E21BEC" w:rsidRDefault="0072388F" w:rsidP="004A52A4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21BEC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88F" w:rsidRPr="00E21BEC" w:rsidRDefault="0072388F" w:rsidP="004A52A4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Gastritis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88F" w:rsidRPr="00E21BEC" w:rsidRDefault="0072388F" w:rsidP="004A52A4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1/38 (2.6%)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88F" w:rsidRPr="00E21BEC" w:rsidRDefault="0072388F" w:rsidP="004A52A4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0/13 (0.0%)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88F" w:rsidRPr="00E21BEC" w:rsidRDefault="0072388F" w:rsidP="004A52A4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1/25 (4.0%)</w:t>
            </w:r>
          </w:p>
        </w:tc>
      </w:tr>
      <w:tr w:rsidR="0072388F" w:rsidRPr="00E21BEC" w:rsidTr="004A52A4">
        <w:trPr>
          <w:trHeight w:val="53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88F" w:rsidRPr="00E21BEC" w:rsidRDefault="0072388F" w:rsidP="004A52A4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88F" w:rsidRDefault="0072388F" w:rsidP="004A52A4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Enterocolitis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88F" w:rsidRPr="00E21BEC" w:rsidRDefault="0072388F" w:rsidP="004A52A4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2/38 (5.3%)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88F" w:rsidRPr="00E21BEC" w:rsidRDefault="0072388F" w:rsidP="004A52A4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1/13 (7.7%)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88F" w:rsidRPr="00E21BEC" w:rsidRDefault="0072388F" w:rsidP="004A52A4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1/25 (4.0%)</w:t>
            </w:r>
          </w:p>
        </w:tc>
      </w:tr>
      <w:tr w:rsidR="0072388F" w:rsidRPr="00E21BEC" w:rsidTr="004A52A4">
        <w:trPr>
          <w:trHeight w:val="40"/>
        </w:trPr>
        <w:tc>
          <w:tcPr>
            <w:tcW w:w="8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8F" w:rsidRPr="00E21BEC" w:rsidRDefault="0072388F" w:rsidP="004A52A4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Endocrinologic</w:t>
            </w:r>
            <w:proofErr w:type="spellEnd"/>
          </w:p>
        </w:tc>
      </w:tr>
      <w:tr w:rsidR="0072388F" w:rsidRPr="00E21BEC" w:rsidTr="004A52A4">
        <w:trPr>
          <w:trHeight w:val="53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8F" w:rsidRPr="00E21BEC" w:rsidRDefault="0072388F" w:rsidP="004A52A4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21BEC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88F" w:rsidRPr="00E21BEC" w:rsidRDefault="0072388F" w:rsidP="004A52A4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Thyrotoxicosis</w:t>
            </w:r>
            <w:proofErr w:type="spellEnd"/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88F" w:rsidRPr="00E21BEC" w:rsidRDefault="0072388F" w:rsidP="004A52A4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1/38 (2.6%)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88F" w:rsidRPr="00E21BEC" w:rsidRDefault="0072388F" w:rsidP="004A52A4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0/13 (0.0%)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88F" w:rsidRPr="00E21BEC" w:rsidRDefault="0072388F" w:rsidP="004A52A4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1/25 (4.0%)</w:t>
            </w:r>
          </w:p>
        </w:tc>
      </w:tr>
      <w:tr w:rsidR="0072388F" w:rsidRPr="00E21BEC" w:rsidTr="004A52A4">
        <w:trPr>
          <w:trHeight w:val="53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88F" w:rsidRPr="00E21BEC" w:rsidRDefault="0072388F" w:rsidP="004A52A4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88F" w:rsidRPr="00E21BEC" w:rsidRDefault="0072388F" w:rsidP="004A52A4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Adrenalitis</w:t>
            </w:r>
            <w:proofErr w:type="spellEnd"/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88F" w:rsidRDefault="0072388F" w:rsidP="004A52A4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1/38 (2.6%)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88F" w:rsidRPr="00E21BEC" w:rsidRDefault="0072388F" w:rsidP="004A52A4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0/13 (0.0%)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88F" w:rsidRDefault="0072388F" w:rsidP="004A52A4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1/25 (4.0%)</w:t>
            </w:r>
          </w:p>
        </w:tc>
      </w:tr>
      <w:tr w:rsidR="0072388F" w:rsidRPr="00E21BEC" w:rsidTr="004A52A4">
        <w:trPr>
          <w:trHeight w:val="4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8F" w:rsidRPr="00E21BEC" w:rsidRDefault="0072388F" w:rsidP="004A52A4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21BEC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88F" w:rsidRPr="00E21BEC" w:rsidRDefault="0072388F" w:rsidP="004A52A4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Hypophysitis</w:t>
            </w:r>
            <w:proofErr w:type="spellEnd"/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88F" w:rsidRPr="00E21BEC" w:rsidRDefault="0072388F" w:rsidP="004A52A4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1/38 (2.6%)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88F" w:rsidRPr="00E21BEC" w:rsidRDefault="0072388F" w:rsidP="004A52A4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0/13 (0.0%)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88F" w:rsidRPr="00E21BEC" w:rsidRDefault="0072388F" w:rsidP="004A52A4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1/25 (4.0%)</w:t>
            </w:r>
          </w:p>
        </w:tc>
      </w:tr>
      <w:tr w:rsidR="0072388F" w:rsidRPr="00E21BEC" w:rsidTr="004A52A4">
        <w:trPr>
          <w:trHeight w:val="40"/>
        </w:trPr>
        <w:tc>
          <w:tcPr>
            <w:tcW w:w="8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8F" w:rsidRPr="00A201A0" w:rsidRDefault="0072388F" w:rsidP="004A52A4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Hematologic</w:t>
            </w:r>
          </w:p>
        </w:tc>
      </w:tr>
      <w:tr w:rsidR="0072388F" w:rsidRPr="00E21BEC" w:rsidTr="004A52A4">
        <w:trPr>
          <w:trHeight w:val="53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8F" w:rsidRPr="00E21BEC" w:rsidRDefault="0072388F" w:rsidP="004A52A4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21BEC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88F" w:rsidRPr="00E21BEC" w:rsidRDefault="0072388F" w:rsidP="004A52A4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Pancytopenia</w:t>
            </w:r>
            <w:proofErr w:type="spellEnd"/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88F" w:rsidRPr="00E21BEC" w:rsidRDefault="0072388F" w:rsidP="004A52A4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1/38 (2.6%)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88F" w:rsidRPr="00E21BEC" w:rsidRDefault="0072388F" w:rsidP="004A52A4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0/13 (0.0%)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88F" w:rsidRPr="00E21BEC" w:rsidRDefault="0072388F" w:rsidP="004A52A4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1/25 (4.0%)</w:t>
            </w:r>
          </w:p>
        </w:tc>
      </w:tr>
      <w:tr w:rsidR="0072388F" w:rsidRPr="00E21BEC" w:rsidTr="004A52A4">
        <w:trPr>
          <w:trHeight w:val="53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88F" w:rsidRPr="00E21BEC" w:rsidRDefault="0072388F" w:rsidP="004A52A4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88F" w:rsidRDefault="0072388F" w:rsidP="004A52A4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Hemophagocytic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lymphohistiocytosis</w:t>
            </w:r>
            <w:proofErr w:type="spellEnd"/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88F" w:rsidRPr="00E21BEC" w:rsidRDefault="0072388F" w:rsidP="004A52A4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1/38 (2.6%)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88F" w:rsidRPr="00E21BEC" w:rsidRDefault="0072388F" w:rsidP="004A52A4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0/13 (0.0%)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88F" w:rsidRPr="00E21BEC" w:rsidRDefault="0072388F" w:rsidP="004A52A4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1/25 (4.0%)</w:t>
            </w:r>
          </w:p>
        </w:tc>
      </w:tr>
      <w:tr w:rsidR="0072388F" w:rsidRPr="00E21BEC" w:rsidTr="004A52A4">
        <w:trPr>
          <w:trHeight w:val="40"/>
        </w:trPr>
        <w:tc>
          <w:tcPr>
            <w:tcW w:w="8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88F" w:rsidRDefault="0072388F" w:rsidP="004A52A4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Rheumatologic</w:t>
            </w:r>
          </w:p>
        </w:tc>
      </w:tr>
      <w:tr w:rsidR="0072388F" w:rsidRPr="00E21BEC" w:rsidTr="004A52A4">
        <w:trPr>
          <w:trHeight w:val="53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8F" w:rsidRPr="00E21BEC" w:rsidRDefault="0072388F" w:rsidP="004A52A4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21BEC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88F" w:rsidRPr="00E21BEC" w:rsidRDefault="0072388F" w:rsidP="004A52A4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Inflammatory arthritis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88F" w:rsidRPr="00E21BEC" w:rsidRDefault="0072388F" w:rsidP="004A52A4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3/38 (7.9%)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88F" w:rsidRPr="00E21BEC" w:rsidRDefault="0072388F" w:rsidP="004A52A4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1/13 (7.7%)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88F" w:rsidRPr="00E21BEC" w:rsidRDefault="0072388F" w:rsidP="004A52A4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2/25 (8.0%)</w:t>
            </w:r>
          </w:p>
        </w:tc>
      </w:tr>
      <w:tr w:rsidR="0072388F" w:rsidRPr="00E21BEC" w:rsidTr="004A52A4">
        <w:trPr>
          <w:trHeight w:val="53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88F" w:rsidRPr="00E21BEC" w:rsidRDefault="0072388F" w:rsidP="004A52A4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88F" w:rsidRPr="00E21BEC" w:rsidRDefault="0072388F" w:rsidP="004A52A4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Sarcoidotic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characteristics on imaging, asymptomatic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88F" w:rsidRPr="00E21BEC" w:rsidRDefault="0072388F" w:rsidP="004A52A4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1/38 (2.6%)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88F" w:rsidRPr="00E21BEC" w:rsidRDefault="0072388F" w:rsidP="004A52A4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1/13 (7.7%)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88F" w:rsidRPr="00E21BEC" w:rsidRDefault="0072388F" w:rsidP="004A52A4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0/25 (0.0%)</w:t>
            </w:r>
          </w:p>
        </w:tc>
      </w:tr>
    </w:tbl>
    <w:p w:rsidR="00DD2F6F" w:rsidRDefault="00DD2F6F" w:rsidP="00DD2F6F">
      <w:pPr>
        <w:rPr>
          <w:rFonts w:ascii="Garamond" w:hAnsi="Garamond"/>
          <w:b/>
        </w:rPr>
      </w:pPr>
      <w:r>
        <w:rPr>
          <w:b/>
        </w:rPr>
        <w:br w:type="page"/>
      </w:r>
    </w:p>
    <w:p w:rsidR="000104F6" w:rsidRPr="00E21BEC" w:rsidRDefault="000104F6" w:rsidP="0052009D">
      <w:pPr>
        <w:pStyle w:val="MSHpreferred"/>
        <w:rPr>
          <w:b/>
        </w:rPr>
      </w:pPr>
      <w:r w:rsidRPr="00E21BEC">
        <w:rPr>
          <w:b/>
        </w:rPr>
        <w:lastRenderedPageBreak/>
        <w:t xml:space="preserve">Supplemental Table </w:t>
      </w:r>
      <w:r w:rsidR="00DD2F6F">
        <w:rPr>
          <w:b/>
        </w:rPr>
        <w:t>3</w:t>
      </w:r>
    </w:p>
    <w:p w:rsidR="000104F6" w:rsidRPr="00E21BEC" w:rsidRDefault="000104F6" w:rsidP="0052009D">
      <w:pPr>
        <w:pStyle w:val="MSHpreferred"/>
      </w:pPr>
      <w:r w:rsidRPr="00E21BEC">
        <w:t xml:space="preserve">Additional features and results </w:t>
      </w:r>
      <w:r w:rsidR="00E86C90">
        <w:t xml:space="preserve">characterizing patient </w:t>
      </w:r>
      <w:r w:rsidR="005C7C7C">
        <w:t xml:space="preserve">presentations and </w:t>
      </w:r>
      <w:r w:rsidR="00E86C90">
        <w:t>clinical courses</w:t>
      </w:r>
      <w:r w:rsidR="00922D49">
        <w:t xml:space="preserve">. Univariate analysis by </w:t>
      </w:r>
      <w:r w:rsidR="000A2345">
        <w:t>colitis subset</w:t>
      </w:r>
      <w:r w:rsidR="00922D49">
        <w:t xml:space="preserve"> displayed</w:t>
      </w:r>
      <w:r w:rsidR="00815E74">
        <w:t>.</w:t>
      </w:r>
      <w:r w:rsidR="000A2345">
        <w:t xml:space="preserve"> </w:t>
      </w:r>
      <w:r w:rsidR="000A2345" w:rsidRPr="00E21BEC">
        <w:t>GEC symptoms were inquired after at standard oncologic follow-up visits. Of note, the total number of patients decreased over time, yielding decreasing denominators in “Absence of symptom recrudescence.”</w:t>
      </w:r>
    </w:p>
    <w:p w:rsidR="000104F6" w:rsidRPr="00E21BEC" w:rsidRDefault="000104F6" w:rsidP="0052009D">
      <w:pPr>
        <w:pStyle w:val="MSHpreferred"/>
      </w:pPr>
    </w:p>
    <w:tbl>
      <w:tblPr>
        <w:tblW w:w="9895" w:type="dxa"/>
        <w:tblLook w:val="04A0"/>
      </w:tblPr>
      <w:tblGrid>
        <w:gridCol w:w="271"/>
        <w:gridCol w:w="17"/>
        <w:gridCol w:w="120"/>
        <w:gridCol w:w="3120"/>
        <w:gridCol w:w="53"/>
        <w:gridCol w:w="1544"/>
        <w:gridCol w:w="32"/>
        <w:gridCol w:w="21"/>
        <w:gridCol w:w="1567"/>
        <w:gridCol w:w="32"/>
        <w:gridCol w:w="21"/>
        <w:gridCol w:w="1869"/>
        <w:gridCol w:w="21"/>
        <w:gridCol w:w="37"/>
        <w:gridCol w:w="1170"/>
      </w:tblGrid>
      <w:tr w:rsidR="000104F6" w:rsidRPr="00E21BEC" w:rsidTr="00E02078">
        <w:trPr>
          <w:trHeight w:val="285"/>
        </w:trPr>
        <w:tc>
          <w:tcPr>
            <w:tcW w:w="98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4F6" w:rsidRPr="00E21BEC" w:rsidRDefault="000104F6" w:rsidP="0052009D">
            <w:pPr>
              <w:pStyle w:val="MSHpreferred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21BE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Table S</w:t>
            </w:r>
            <w:r w:rsidR="00DD2F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E21BE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: Additional features of</w:t>
            </w:r>
            <w:r w:rsidR="00FA4B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clinical course</w:t>
            </w:r>
            <w:r w:rsidRPr="00E21BE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104F6" w:rsidRPr="00E21BEC" w:rsidTr="00E02078">
        <w:trPr>
          <w:trHeight w:val="285"/>
        </w:trPr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104F6" w:rsidRPr="00E21BEC" w:rsidRDefault="000104F6" w:rsidP="0052009D">
            <w:pPr>
              <w:pStyle w:val="MSHpreferred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104F6" w:rsidRPr="00E21BEC" w:rsidRDefault="000104F6" w:rsidP="0052009D">
            <w:pPr>
              <w:pStyle w:val="MSHpreferred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21BEC">
              <w:rPr>
                <w:rFonts w:eastAsia="Times New Roman"/>
                <w:bCs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F6" w:rsidRPr="00E21BEC" w:rsidRDefault="00196253" w:rsidP="00196253">
            <w:pPr>
              <w:pStyle w:val="MSHpreferred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Microscopic colitis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04F6" w:rsidRPr="00E21BEC" w:rsidRDefault="00196253" w:rsidP="0052009D">
            <w:pPr>
              <w:pStyle w:val="MSHpreferred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Non-microscopic colitis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04F6" w:rsidRPr="00E21BEC" w:rsidRDefault="000104F6" w:rsidP="0052009D">
            <w:pPr>
              <w:pStyle w:val="MSHpreferred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21BEC">
              <w:rPr>
                <w:rFonts w:eastAsia="Times New Roman"/>
                <w:iCs/>
                <w:color w:val="000000"/>
                <w:sz w:val="20"/>
                <w:szCs w:val="20"/>
              </w:rPr>
              <w:t>p-value</w:t>
            </w:r>
          </w:p>
        </w:tc>
      </w:tr>
      <w:tr w:rsidR="000B5517" w:rsidRPr="00E21BEC" w:rsidTr="00E02078">
        <w:trPr>
          <w:trHeight w:val="285"/>
        </w:trPr>
        <w:tc>
          <w:tcPr>
            <w:tcW w:w="98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17" w:rsidRPr="00E21BEC" w:rsidRDefault="000B5517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 w:rsidRPr="00E21BEC">
              <w:rPr>
                <w:rFonts w:eastAsia="Times New Roman"/>
                <w:color w:val="000000"/>
                <w:sz w:val="20"/>
                <w:szCs w:val="20"/>
              </w:rPr>
              <w:t xml:space="preserve">Time from most recent CPI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infusion</w:t>
            </w:r>
            <w:r w:rsidRPr="00E21BEC">
              <w:rPr>
                <w:rFonts w:eastAsia="Times New Roman"/>
                <w:color w:val="000000"/>
                <w:sz w:val="20"/>
                <w:szCs w:val="20"/>
              </w:rPr>
              <w:t xml:space="preserve"> to symptom onset (days)</w:t>
            </w:r>
          </w:p>
        </w:tc>
      </w:tr>
      <w:tr w:rsidR="000B5517" w:rsidRPr="00E21BEC" w:rsidTr="00E02078">
        <w:trPr>
          <w:trHeight w:val="28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17" w:rsidRPr="00E21BEC" w:rsidRDefault="000B5517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 w:rsidRPr="00E21B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17" w:rsidRPr="00E21BEC" w:rsidRDefault="000B5517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 w:rsidRPr="00E21BEC">
              <w:rPr>
                <w:rFonts w:eastAsia="Times New Roman"/>
                <w:color w:val="000000"/>
                <w:sz w:val="20"/>
                <w:szCs w:val="20"/>
              </w:rPr>
              <w:t>Mean +/- SD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517" w:rsidRPr="00E21BEC" w:rsidRDefault="005F4949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12.9 +/- 15.4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17" w:rsidRPr="00E21BEC" w:rsidRDefault="000B5517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 w:rsidRPr="00E21BEC">
              <w:rPr>
                <w:rFonts w:eastAsia="Times New Roman"/>
                <w:color w:val="000000"/>
                <w:sz w:val="20"/>
                <w:szCs w:val="20"/>
              </w:rPr>
              <w:t>7.2 +/- 6.6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517" w:rsidRPr="00E21BEC" w:rsidRDefault="004F46A9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15.9 +/- 17.8</w:t>
            </w:r>
          </w:p>
        </w:tc>
        <w:tc>
          <w:tcPr>
            <w:tcW w:w="122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17" w:rsidRPr="00E21BEC" w:rsidRDefault="000B5517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 w:rsidRPr="00E21BEC">
              <w:rPr>
                <w:rFonts w:eastAsia="Times New Roman"/>
                <w:color w:val="000000"/>
                <w:sz w:val="20"/>
                <w:szCs w:val="20"/>
              </w:rPr>
              <w:t>0.</w:t>
            </w:r>
            <w:r w:rsidR="00DD751A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  <w:p w:rsidR="000B5517" w:rsidRPr="00E21BEC" w:rsidRDefault="000B5517" w:rsidP="00621FDE">
            <w:pPr>
              <w:pStyle w:val="MSHpreferred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</w:tr>
      <w:tr w:rsidR="000B5517" w:rsidRPr="00E21BEC" w:rsidTr="00E02078">
        <w:trPr>
          <w:trHeight w:val="28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17" w:rsidRPr="00E21BEC" w:rsidRDefault="000B5517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 w:rsidRPr="00E21B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17" w:rsidRPr="00E21BEC" w:rsidRDefault="000B5517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 w:rsidRPr="00E21BEC">
              <w:rPr>
                <w:rFonts w:eastAsia="Times New Roman"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517" w:rsidRPr="00E21BEC" w:rsidRDefault="005F4949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17" w:rsidRPr="00E21BEC" w:rsidRDefault="000B5517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 w:rsidRPr="00E21BEC"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517" w:rsidRPr="00E21BEC" w:rsidRDefault="00DD751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22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17" w:rsidRPr="00E21BEC" w:rsidRDefault="000B5517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2035A" w:rsidRPr="00E21BEC" w:rsidTr="00E02078">
        <w:trPr>
          <w:trHeight w:val="285"/>
        </w:trPr>
        <w:tc>
          <w:tcPr>
            <w:tcW w:w="98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 w:rsidRPr="00E21BEC">
              <w:rPr>
                <w:rFonts w:eastAsia="Times New Roman"/>
                <w:color w:val="000000"/>
                <w:sz w:val="20"/>
                <w:szCs w:val="20"/>
              </w:rPr>
              <w:t>Time from symptom onset to first medical contact (days)</w:t>
            </w:r>
          </w:p>
        </w:tc>
      </w:tr>
      <w:tr w:rsidR="00E2035A" w:rsidRPr="00E21BEC" w:rsidTr="00E02078">
        <w:trPr>
          <w:trHeight w:val="285"/>
        </w:trPr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 w:rsidRPr="00E21B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 w:rsidRPr="00E21BEC">
              <w:rPr>
                <w:rFonts w:eastAsia="Times New Roman"/>
                <w:color w:val="000000"/>
                <w:sz w:val="20"/>
                <w:szCs w:val="20"/>
              </w:rPr>
              <w:t>Mean +/- SD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13.6 +/- 31.0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 w:rsidRPr="00E21BEC">
              <w:rPr>
                <w:rFonts w:eastAsia="Times New Roman"/>
                <w:color w:val="000000"/>
                <w:sz w:val="20"/>
                <w:szCs w:val="20"/>
              </w:rPr>
              <w:t>6.6 +/- 5.9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17.3 +/- 37.7</w:t>
            </w:r>
          </w:p>
        </w:tc>
        <w:tc>
          <w:tcPr>
            <w:tcW w:w="122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0.321</w:t>
            </w:r>
          </w:p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10"/>
                <w:szCs w:val="10"/>
              </w:rPr>
            </w:pPr>
          </w:p>
        </w:tc>
      </w:tr>
      <w:tr w:rsidR="00E2035A" w:rsidRPr="00E21BEC" w:rsidTr="00E02078">
        <w:trPr>
          <w:trHeight w:val="285"/>
        </w:trPr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 w:rsidRPr="00E21B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 w:rsidRPr="00E21BEC">
              <w:rPr>
                <w:rFonts w:eastAsia="Times New Roman"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 w:rsidRPr="00E21BEC"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22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2035A" w:rsidRPr="00E21BEC" w:rsidTr="00E02078">
        <w:trPr>
          <w:trHeight w:val="285"/>
        </w:trPr>
        <w:tc>
          <w:tcPr>
            <w:tcW w:w="98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 w:rsidRPr="00E21BEC">
              <w:rPr>
                <w:rFonts w:eastAsia="Times New Roman"/>
                <w:color w:val="000000"/>
                <w:sz w:val="20"/>
                <w:szCs w:val="20"/>
              </w:rPr>
              <w:t>Presenting signs and symptoms</w:t>
            </w:r>
          </w:p>
        </w:tc>
      </w:tr>
      <w:tr w:rsidR="00E2035A" w:rsidRPr="00E21BEC" w:rsidTr="00E02078">
        <w:trPr>
          <w:trHeight w:val="98"/>
        </w:trPr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 w:rsidRPr="00E21B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 w:rsidRPr="00E21BEC">
              <w:rPr>
                <w:rFonts w:eastAsia="Times New Roman"/>
                <w:color w:val="000000"/>
                <w:sz w:val="20"/>
                <w:szCs w:val="20"/>
              </w:rPr>
              <w:t>Diarrhea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35A" w:rsidRPr="00E21BEC" w:rsidRDefault="00E2035A" w:rsidP="00621FDE">
            <w:pPr>
              <w:pStyle w:val="MSHpreferred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37/38 (97.4%)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 w:rsidRPr="00E21BEC">
              <w:rPr>
                <w:rFonts w:eastAsia="Times New Roman"/>
                <w:color w:val="000000"/>
                <w:sz w:val="20"/>
                <w:szCs w:val="20"/>
              </w:rPr>
              <w:t>13/13 (100.0%)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24/25 (96.0%)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1.000</w:t>
            </w:r>
          </w:p>
        </w:tc>
      </w:tr>
      <w:tr w:rsidR="00E2035A" w:rsidRPr="00E21BEC" w:rsidTr="00E02078">
        <w:trPr>
          <w:trHeight w:val="269"/>
        </w:trPr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 w:rsidRPr="00E21B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 w:rsidRPr="00E21BEC">
              <w:rPr>
                <w:rFonts w:eastAsia="Times New Roman"/>
                <w:color w:val="000000"/>
                <w:sz w:val="20"/>
                <w:szCs w:val="20"/>
              </w:rPr>
              <w:t>Nausea and/or vomiting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35A" w:rsidRPr="00E21BEC" w:rsidRDefault="00E2035A" w:rsidP="00621FDE">
            <w:pPr>
              <w:pStyle w:val="MSHpreferred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6/38 (15.8%)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 w:rsidRPr="00E21BEC">
              <w:rPr>
                <w:rFonts w:eastAsia="Times New Roman"/>
                <w:color w:val="000000"/>
                <w:sz w:val="20"/>
                <w:szCs w:val="20"/>
              </w:rPr>
              <w:t>2/13 (15.4%)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4/25 (16.0%)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1.000</w:t>
            </w:r>
          </w:p>
        </w:tc>
      </w:tr>
      <w:tr w:rsidR="00E2035A" w:rsidRPr="00E21BEC" w:rsidTr="00E02078">
        <w:trPr>
          <w:trHeight w:val="285"/>
        </w:trPr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 w:rsidRPr="00E21B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 w:rsidRPr="00E21BEC">
              <w:rPr>
                <w:rFonts w:eastAsia="Times New Roman"/>
                <w:color w:val="000000"/>
                <w:sz w:val="20"/>
                <w:szCs w:val="20"/>
              </w:rPr>
              <w:t>Abdominal pain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35A" w:rsidRPr="00E21BEC" w:rsidRDefault="00E2035A" w:rsidP="00621FDE">
            <w:pPr>
              <w:pStyle w:val="MSHpreferred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16/38 (42.1%)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 w:rsidRPr="00E21BEC">
              <w:rPr>
                <w:rFonts w:eastAsia="Times New Roman"/>
                <w:color w:val="000000"/>
                <w:sz w:val="20"/>
                <w:szCs w:val="20"/>
              </w:rPr>
              <w:t>5/13 (38.5%)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11/25 (44.0%)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0.743</w:t>
            </w:r>
          </w:p>
        </w:tc>
      </w:tr>
      <w:tr w:rsidR="00E2035A" w:rsidRPr="00E21BEC" w:rsidTr="00E02078">
        <w:trPr>
          <w:trHeight w:val="285"/>
        </w:trPr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 w:rsidRPr="00E21B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 w:rsidRPr="00E21BEC">
              <w:rPr>
                <w:rFonts w:eastAsia="Times New Roman"/>
                <w:color w:val="000000"/>
                <w:sz w:val="20"/>
                <w:szCs w:val="20"/>
              </w:rPr>
              <w:t>Urgency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35A" w:rsidRPr="00E21BEC" w:rsidRDefault="00E2035A" w:rsidP="00621FDE">
            <w:pPr>
              <w:pStyle w:val="MSHpreferred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14/38 (36.8%)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 w:rsidRPr="00E21BEC">
              <w:rPr>
                <w:rFonts w:eastAsia="Times New Roman"/>
                <w:color w:val="000000"/>
                <w:sz w:val="20"/>
                <w:szCs w:val="20"/>
              </w:rPr>
              <w:t>6/13 (46.2%)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8/25 (32.0%)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0.486</w:t>
            </w:r>
          </w:p>
        </w:tc>
      </w:tr>
      <w:tr w:rsidR="00E2035A" w:rsidRPr="00E21BEC" w:rsidTr="00E02078">
        <w:trPr>
          <w:trHeight w:val="285"/>
        </w:trPr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 w:rsidRPr="00E21B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 w:rsidRPr="00E21BEC">
              <w:rPr>
                <w:rFonts w:eastAsia="Times New Roman"/>
                <w:color w:val="000000"/>
                <w:sz w:val="20"/>
                <w:szCs w:val="20"/>
              </w:rPr>
              <w:t>Fecal incontinence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35A" w:rsidRPr="00E21BEC" w:rsidRDefault="00E2035A" w:rsidP="00621FDE">
            <w:pPr>
              <w:pStyle w:val="MSHpreferred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6/38 (15.8%)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 w:rsidRPr="00E21BEC">
              <w:rPr>
                <w:rFonts w:eastAsia="Times New Roman"/>
                <w:color w:val="000000"/>
                <w:sz w:val="20"/>
                <w:szCs w:val="20"/>
              </w:rPr>
              <w:t>2/13 (15.4%)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4/25 (16.0%)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1.000</w:t>
            </w:r>
          </w:p>
        </w:tc>
      </w:tr>
      <w:tr w:rsidR="00E2035A" w:rsidRPr="00E21BEC" w:rsidTr="00E02078">
        <w:trPr>
          <w:trHeight w:val="278"/>
        </w:trPr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 w:rsidRPr="00E21B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 w:rsidRPr="00E21BEC">
              <w:rPr>
                <w:rFonts w:eastAsia="Times New Roman"/>
                <w:color w:val="000000"/>
                <w:sz w:val="20"/>
                <w:szCs w:val="20"/>
              </w:rPr>
              <w:t>Melena and/or hematochezia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35A" w:rsidRPr="00E21BEC" w:rsidRDefault="00E2035A" w:rsidP="00621FDE">
            <w:pPr>
              <w:pStyle w:val="MSHpreferred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1/38 (2.6%)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 w:rsidRPr="00E21BEC">
              <w:rPr>
                <w:rFonts w:eastAsia="Times New Roman"/>
                <w:color w:val="000000"/>
                <w:sz w:val="20"/>
                <w:szCs w:val="20"/>
              </w:rPr>
              <w:t>0/13 (0.0%)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1/25 (4.0%)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1.000</w:t>
            </w:r>
          </w:p>
        </w:tc>
      </w:tr>
      <w:tr w:rsidR="00E2035A" w:rsidRPr="00E21BEC" w:rsidTr="00E02078">
        <w:trPr>
          <w:trHeight w:val="278"/>
        </w:trPr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 w:rsidRPr="00E21B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 w:rsidRPr="00E21BEC">
              <w:rPr>
                <w:rFonts w:eastAsia="Times New Roman"/>
                <w:color w:val="000000"/>
                <w:sz w:val="20"/>
                <w:szCs w:val="20"/>
              </w:rPr>
              <w:t>Bloating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35A" w:rsidRPr="00E21BEC" w:rsidRDefault="00E2035A" w:rsidP="00621FDE">
            <w:pPr>
              <w:pStyle w:val="MSHpreferred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4/38 (10.5%)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 w:rsidRPr="00E21BEC">
              <w:rPr>
                <w:rFonts w:eastAsia="Times New Roman"/>
                <w:color w:val="000000"/>
                <w:sz w:val="20"/>
                <w:szCs w:val="20"/>
              </w:rPr>
              <w:t>1/13 (7.7%)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3/25 (12.0%)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1.000</w:t>
            </w:r>
          </w:p>
        </w:tc>
      </w:tr>
      <w:tr w:rsidR="00E2035A" w:rsidRPr="00E21BEC" w:rsidTr="00E02078">
        <w:trPr>
          <w:trHeight w:val="278"/>
        </w:trPr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 w:rsidRPr="00E21B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 w:rsidRPr="00E21BEC">
              <w:rPr>
                <w:rFonts w:eastAsia="Times New Roman"/>
                <w:color w:val="000000"/>
                <w:sz w:val="20"/>
                <w:szCs w:val="20"/>
              </w:rPr>
              <w:t>Weight loss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35A" w:rsidRPr="00E21BEC" w:rsidRDefault="00E2035A" w:rsidP="00621FDE">
            <w:pPr>
              <w:pStyle w:val="MSHpreferred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3/38 (7.9%)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 w:rsidRPr="00E21BEC">
              <w:rPr>
                <w:rFonts w:eastAsia="Times New Roman"/>
                <w:color w:val="000000"/>
                <w:sz w:val="20"/>
                <w:szCs w:val="20"/>
              </w:rPr>
              <w:t>1/13 (7.7%)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2/25 (8.0%)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1.000</w:t>
            </w:r>
          </w:p>
        </w:tc>
      </w:tr>
      <w:tr w:rsidR="00E2035A" w:rsidRPr="00E21BEC" w:rsidTr="00E02078">
        <w:trPr>
          <w:trHeight w:val="278"/>
        </w:trPr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 w:rsidRPr="00E21B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 w:rsidRPr="00E21BEC">
              <w:rPr>
                <w:rFonts w:eastAsia="Times New Roman"/>
                <w:color w:val="000000"/>
                <w:sz w:val="20"/>
                <w:szCs w:val="20"/>
              </w:rPr>
              <w:t>Epigastric burning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35A" w:rsidRPr="00E21BEC" w:rsidRDefault="00E2035A" w:rsidP="00621FDE">
            <w:pPr>
              <w:pStyle w:val="MSHpreferred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1/38 (2.6%)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 w:rsidRPr="00E21BEC">
              <w:rPr>
                <w:rFonts w:eastAsia="Times New Roman"/>
                <w:color w:val="000000"/>
                <w:sz w:val="20"/>
                <w:szCs w:val="20"/>
              </w:rPr>
              <w:t>0/13 (0.0%)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1/25 (4.0%)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1.000</w:t>
            </w:r>
          </w:p>
        </w:tc>
      </w:tr>
      <w:tr w:rsidR="00E2035A" w:rsidRPr="00E21BEC" w:rsidTr="00E02078">
        <w:trPr>
          <w:trHeight w:val="285"/>
        </w:trPr>
        <w:tc>
          <w:tcPr>
            <w:tcW w:w="98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 w:rsidRPr="00E21BEC">
              <w:rPr>
                <w:rFonts w:eastAsia="Times New Roman"/>
                <w:color w:val="000000"/>
                <w:sz w:val="20"/>
                <w:szCs w:val="20"/>
              </w:rPr>
              <w:t>Laboratory results at symptom evaluation</w:t>
            </w:r>
          </w:p>
        </w:tc>
      </w:tr>
      <w:tr w:rsidR="00E2035A" w:rsidRPr="00E21BEC" w:rsidTr="00E02078">
        <w:trPr>
          <w:trHeight w:val="43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 w:rsidRPr="00E21B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 w:rsidRPr="00E21BEC">
              <w:rPr>
                <w:rFonts w:eastAsia="Times New Roman"/>
                <w:color w:val="000000"/>
                <w:sz w:val="20"/>
                <w:szCs w:val="20"/>
              </w:rPr>
              <w:t>Serum sodium (mmol/L)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35A" w:rsidRPr="00E21BEC" w:rsidRDefault="00E450A3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138 +/- 4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 w:rsidRPr="00E21BEC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40</w:t>
            </w:r>
            <w:r w:rsidRPr="00E21BEC">
              <w:rPr>
                <w:rFonts w:eastAsia="Times New Roman"/>
                <w:color w:val="000000"/>
                <w:sz w:val="20"/>
                <w:szCs w:val="20"/>
              </w:rPr>
              <w:t xml:space="preserve"> +/-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5A" w:rsidRPr="00E21BEC" w:rsidRDefault="00B23BAC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138 +/- 5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5A" w:rsidRPr="00E21BEC" w:rsidRDefault="007F559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0.111</w:t>
            </w:r>
          </w:p>
        </w:tc>
      </w:tr>
      <w:tr w:rsidR="00E2035A" w:rsidRPr="00E21BEC" w:rsidTr="00E02078">
        <w:trPr>
          <w:trHeight w:val="143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 w:rsidRPr="00E21B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 w:rsidRPr="00E21BEC">
              <w:rPr>
                <w:rFonts w:eastAsia="Times New Roman"/>
                <w:color w:val="000000"/>
                <w:sz w:val="20"/>
                <w:szCs w:val="20"/>
              </w:rPr>
              <w:t>Serum potassium (mmol/L)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35A" w:rsidRPr="00E21BEC" w:rsidRDefault="00E450A3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4.1 +/- 0.5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 w:rsidRPr="00E21BEC">
              <w:rPr>
                <w:rFonts w:eastAsia="Times New Roman"/>
                <w:color w:val="000000"/>
                <w:sz w:val="20"/>
                <w:szCs w:val="20"/>
              </w:rPr>
              <w:t>4.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 w:rsidRPr="00E21BEC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+/- 0.4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5A" w:rsidRPr="00E21BEC" w:rsidRDefault="00B23BAC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4.1 +/- 0.5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5A" w:rsidRPr="00E21BEC" w:rsidRDefault="007F559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0.197</w:t>
            </w:r>
          </w:p>
        </w:tc>
      </w:tr>
      <w:tr w:rsidR="00E2035A" w:rsidRPr="00E21BEC" w:rsidTr="00E02078">
        <w:trPr>
          <w:trHeight w:val="43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 w:rsidRPr="00E21B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 w:rsidRPr="00E21BEC">
              <w:rPr>
                <w:rFonts w:eastAsia="Times New Roman"/>
                <w:color w:val="000000"/>
                <w:sz w:val="20"/>
                <w:szCs w:val="20"/>
              </w:rPr>
              <w:t>Serum chloride (mmol/L)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35A" w:rsidRPr="00E21BEC" w:rsidRDefault="00E450A3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 +/- 4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 w:rsidRPr="00E21BEC">
              <w:rPr>
                <w:rFonts w:eastAsia="Times New Roman"/>
                <w:color w:val="000000"/>
                <w:sz w:val="20"/>
                <w:szCs w:val="20"/>
              </w:rPr>
              <w:t>10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 +/- 2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5A" w:rsidRPr="00E21BEC" w:rsidRDefault="002D0DDC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 +/- 4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5A" w:rsidRPr="00E21BEC" w:rsidRDefault="007F559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0.134</w:t>
            </w:r>
          </w:p>
        </w:tc>
      </w:tr>
      <w:tr w:rsidR="00E2035A" w:rsidRPr="00E21BEC" w:rsidTr="00E02078">
        <w:trPr>
          <w:trHeight w:val="43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 w:rsidRPr="00E21B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 w:rsidRPr="00E21BEC">
              <w:rPr>
                <w:rFonts w:eastAsia="Times New Roman"/>
                <w:color w:val="000000"/>
                <w:sz w:val="20"/>
                <w:szCs w:val="20"/>
              </w:rPr>
              <w:t>Blood urea nitrogen (mg/dL)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35A" w:rsidRPr="00E21BEC" w:rsidRDefault="00E450A3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 +/- 8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 +/- 7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5A" w:rsidRPr="00E21BEC" w:rsidRDefault="002D0DDC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 +/- 8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5A" w:rsidRPr="00E21BEC" w:rsidRDefault="007F559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0.928</w:t>
            </w:r>
          </w:p>
        </w:tc>
      </w:tr>
      <w:tr w:rsidR="00E2035A" w:rsidRPr="00E21BEC" w:rsidTr="00E02078">
        <w:trPr>
          <w:trHeight w:val="43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 w:rsidRPr="00E21B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 w:rsidRPr="00E21BEC">
              <w:rPr>
                <w:rFonts w:eastAsia="Times New Roman"/>
                <w:color w:val="000000"/>
                <w:sz w:val="20"/>
                <w:szCs w:val="20"/>
              </w:rPr>
              <w:t>Serum creatinine (mg/dL)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35A" w:rsidRPr="00E21BEC" w:rsidRDefault="00357233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0.9 +/- 0.3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1.0 +/- 0.3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5A" w:rsidRPr="00E21BEC" w:rsidRDefault="002D0DDC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0.9 +/- 0.3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5A" w:rsidRPr="00E21BEC" w:rsidRDefault="007F559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0.863</w:t>
            </w:r>
          </w:p>
        </w:tc>
      </w:tr>
      <w:tr w:rsidR="00E2035A" w:rsidRPr="00E21BEC" w:rsidTr="00E02078">
        <w:trPr>
          <w:trHeight w:val="4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 w:rsidRPr="00E21B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 w:rsidRPr="00E21BEC">
              <w:rPr>
                <w:rFonts w:eastAsia="Times New Roman"/>
                <w:color w:val="000000"/>
                <w:sz w:val="20"/>
                <w:szCs w:val="20"/>
              </w:rPr>
              <w:t>Leukocytes (K cells/mL)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35A" w:rsidRPr="00E21BEC" w:rsidRDefault="00357233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8.06 +/- 5.62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6.95 +/- 1.80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5A" w:rsidRPr="00E21BEC" w:rsidRDefault="002D0DDC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8.63 +/- </w:t>
            </w:r>
            <w:r w:rsidR="007F559A">
              <w:rPr>
                <w:rFonts w:eastAsia="Times New Roman"/>
                <w:color w:val="000000"/>
                <w:sz w:val="20"/>
                <w:szCs w:val="20"/>
              </w:rPr>
              <w:t>6.78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5A" w:rsidRPr="00E21BEC" w:rsidRDefault="006C5D01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0.389</w:t>
            </w:r>
          </w:p>
        </w:tc>
      </w:tr>
      <w:tr w:rsidR="00E2035A" w:rsidRPr="00E21BEC" w:rsidTr="00E02078">
        <w:trPr>
          <w:trHeight w:val="4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 w:rsidRPr="00E21BEC">
              <w:rPr>
                <w:rFonts w:eastAsia="Times New Roman"/>
                <w:color w:val="000000"/>
                <w:sz w:val="20"/>
                <w:szCs w:val="20"/>
              </w:rPr>
              <w:t>Hgb (g/dL)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35A" w:rsidRPr="00E21BEC" w:rsidRDefault="00357233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13.1 +/- 2.1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 w:rsidRPr="00E21BEC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3.5 +/- 1.8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5A" w:rsidRPr="00E21BEC" w:rsidRDefault="007F559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12.9 +/- 2.3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5A" w:rsidRPr="00E21BEC" w:rsidRDefault="006C5D01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0.474</w:t>
            </w:r>
          </w:p>
        </w:tc>
      </w:tr>
      <w:tr w:rsidR="00E2035A" w:rsidRPr="00E21BEC" w:rsidTr="00E02078">
        <w:trPr>
          <w:trHeight w:val="4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21BEC">
              <w:rPr>
                <w:rFonts w:eastAsia="Times New Roman"/>
                <w:color w:val="000000"/>
                <w:sz w:val="20"/>
                <w:szCs w:val="20"/>
              </w:rPr>
              <w:t>Hct</w:t>
            </w:r>
            <w:proofErr w:type="spellEnd"/>
            <w:r w:rsidRPr="00E21BEC">
              <w:rPr>
                <w:rFonts w:eastAsia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35A" w:rsidRPr="00E21BEC" w:rsidRDefault="00357233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39.4 +/- </w:t>
            </w:r>
            <w:r w:rsidR="00B23BAC">
              <w:rPr>
                <w:rFonts w:eastAsia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40.1 +/- 4.1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5A" w:rsidRPr="00E21BEC" w:rsidRDefault="007F559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39.1 +/- 6.2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5A" w:rsidRPr="00E21BEC" w:rsidRDefault="006C5D01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0.589</w:t>
            </w:r>
          </w:p>
        </w:tc>
      </w:tr>
      <w:tr w:rsidR="00E2035A" w:rsidRPr="00E21BEC" w:rsidTr="00E02078">
        <w:trPr>
          <w:trHeight w:val="4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21BEC">
              <w:rPr>
                <w:rFonts w:eastAsia="Times New Roman"/>
                <w:color w:val="000000"/>
                <w:sz w:val="20"/>
                <w:szCs w:val="20"/>
              </w:rPr>
              <w:t>Plt</w:t>
            </w:r>
            <w:proofErr w:type="spellEnd"/>
            <w:r w:rsidRPr="00E21BEC">
              <w:rPr>
                <w:rFonts w:eastAsia="Times New Roman"/>
                <w:color w:val="000000"/>
                <w:sz w:val="20"/>
                <w:szCs w:val="20"/>
              </w:rPr>
              <w:t xml:space="preserve"> (K cells/</w:t>
            </w:r>
            <w:proofErr w:type="spellStart"/>
            <w:r w:rsidRPr="00E21BEC">
              <w:rPr>
                <w:rFonts w:eastAsia="Times New Roman"/>
                <w:color w:val="000000"/>
                <w:sz w:val="20"/>
                <w:szCs w:val="20"/>
              </w:rPr>
              <w:t>mL</w:t>
            </w:r>
            <w:proofErr w:type="spellEnd"/>
            <w:r w:rsidRPr="00E21BEC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35A" w:rsidRPr="00E21BEC" w:rsidRDefault="00B23BAC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249 +/- 78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 w:rsidRPr="00E21BEC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26 +/- 61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5A" w:rsidRPr="00E21BEC" w:rsidRDefault="007F559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260 +/- 85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5A" w:rsidRPr="00E21BEC" w:rsidRDefault="006C5D01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0.204</w:t>
            </w:r>
          </w:p>
        </w:tc>
      </w:tr>
      <w:tr w:rsidR="00E2035A" w:rsidRPr="00E21BEC" w:rsidTr="00E02078">
        <w:trPr>
          <w:trHeight w:val="53"/>
        </w:trPr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 w:rsidRPr="00E21B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 w:rsidRPr="00E21BEC">
              <w:rPr>
                <w:rFonts w:eastAsia="Times New Roman"/>
                <w:color w:val="000000"/>
                <w:sz w:val="20"/>
                <w:szCs w:val="20"/>
              </w:rPr>
              <w:t>Neutrophils, absolute (k cells/mL)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5.94 +/- 5.67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 w:rsidRPr="00E21BEC">
              <w:rPr>
                <w:rFonts w:eastAsia="Times New Roman"/>
                <w:color w:val="000000"/>
                <w:sz w:val="20"/>
                <w:szCs w:val="20"/>
              </w:rPr>
              <w:t>4.79 +/- 1.59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6.57 +/- 6.92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0.370</w:t>
            </w:r>
          </w:p>
        </w:tc>
      </w:tr>
      <w:tr w:rsidR="00E2035A" w:rsidRPr="00E21BEC" w:rsidTr="00E02078">
        <w:trPr>
          <w:trHeight w:val="40"/>
        </w:trPr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 w:rsidRPr="00E21B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 w:rsidRPr="00E21BEC">
              <w:rPr>
                <w:rFonts w:eastAsia="Times New Roman"/>
                <w:color w:val="000000"/>
                <w:sz w:val="20"/>
                <w:szCs w:val="20"/>
              </w:rPr>
              <w:t>Lymphocytes, absolute (k cells/mL)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1.57 +/- 1.91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 w:rsidRPr="00E21BEC">
              <w:rPr>
                <w:rFonts w:eastAsia="Times New Roman"/>
                <w:color w:val="000000"/>
                <w:sz w:val="20"/>
                <w:szCs w:val="20"/>
              </w:rPr>
              <w:t>1.31 +/- 0.35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1.72 +/- 2.38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0.549</w:t>
            </w:r>
          </w:p>
        </w:tc>
      </w:tr>
      <w:tr w:rsidR="00E2035A" w:rsidRPr="00E21BEC" w:rsidTr="00E02078">
        <w:trPr>
          <w:trHeight w:val="40"/>
        </w:trPr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 w:rsidRPr="00E21B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 w:rsidRPr="00E21BEC">
              <w:rPr>
                <w:rFonts w:eastAsia="Times New Roman"/>
                <w:color w:val="000000"/>
                <w:sz w:val="20"/>
                <w:szCs w:val="20"/>
              </w:rPr>
              <w:t>Eosinophils, relative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2.3% +/- 2.0%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 w:rsidRPr="00E21BEC">
              <w:rPr>
                <w:rFonts w:eastAsia="Times New Roman"/>
                <w:color w:val="000000"/>
                <w:sz w:val="20"/>
                <w:szCs w:val="20"/>
              </w:rPr>
              <w:t>2.2% +/- 1.7%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2.4% +/- 2.1%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0.848</w:t>
            </w:r>
          </w:p>
        </w:tc>
      </w:tr>
      <w:tr w:rsidR="00E2035A" w:rsidRPr="00E21BEC" w:rsidTr="00E02078">
        <w:trPr>
          <w:trHeight w:val="40"/>
        </w:trPr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 w:rsidRPr="00E21B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 w:rsidRPr="00E21BEC">
              <w:rPr>
                <w:rFonts w:eastAsia="Times New Roman"/>
                <w:color w:val="000000"/>
                <w:sz w:val="20"/>
                <w:szCs w:val="20"/>
              </w:rPr>
              <w:t>Eosinophils, absolute (k cells/mL)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0.15 +/- 0.14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 w:rsidRPr="00E21BEC">
              <w:rPr>
                <w:rFonts w:eastAsia="Times New Roman"/>
                <w:color w:val="000000"/>
                <w:sz w:val="20"/>
                <w:szCs w:val="20"/>
              </w:rPr>
              <w:t>0.16 +/- 0.15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0.15 +/- 0.14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0.828</w:t>
            </w:r>
          </w:p>
        </w:tc>
      </w:tr>
      <w:tr w:rsidR="00E2035A" w:rsidRPr="00E21BEC" w:rsidTr="00E02078">
        <w:trPr>
          <w:trHeight w:val="40"/>
        </w:trPr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 w:rsidRPr="00E21B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 w:rsidRPr="00E21BEC">
              <w:rPr>
                <w:rFonts w:eastAsia="Times New Roman"/>
                <w:color w:val="000000"/>
                <w:sz w:val="20"/>
                <w:szCs w:val="20"/>
              </w:rPr>
              <w:t>Elevated TTG IgA titer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1/15 (6.7%)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 w:rsidRPr="00E21BEC">
              <w:rPr>
                <w:rFonts w:eastAsia="Times New Roman"/>
                <w:color w:val="000000"/>
                <w:sz w:val="20"/>
                <w:szCs w:val="20"/>
              </w:rPr>
              <w:t>0/9 (9.0%)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1/6 (16.7%)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35A" w:rsidRPr="00E21BEC" w:rsidRDefault="00E2035A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0.400</w:t>
            </w:r>
          </w:p>
        </w:tc>
      </w:tr>
      <w:tr w:rsidR="000A0BE8" w:rsidRPr="00E21BEC" w:rsidTr="00D50E55">
        <w:trPr>
          <w:trHeight w:val="285"/>
        </w:trPr>
        <w:tc>
          <w:tcPr>
            <w:tcW w:w="98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E8" w:rsidRDefault="009437A0" w:rsidP="00D50E55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Location of histopathologic inflammation</w:t>
            </w:r>
          </w:p>
        </w:tc>
      </w:tr>
      <w:tr w:rsidR="009437A0" w:rsidRPr="00E21BEC" w:rsidTr="00E02078">
        <w:trPr>
          <w:trHeight w:val="40"/>
        </w:trPr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7A0" w:rsidRPr="00E21BEC" w:rsidRDefault="009437A0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7A0" w:rsidRPr="00E21BEC" w:rsidRDefault="009437A0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Gastritis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7A0" w:rsidRDefault="009437A0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4/38 (10.5%)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7A0" w:rsidRPr="00E21BEC" w:rsidRDefault="009437A0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0/13 (0.0%)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7A0" w:rsidRDefault="009437A0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4/25 (16.0%)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7A0" w:rsidRDefault="009437A0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Not calculated</w:t>
            </w:r>
          </w:p>
        </w:tc>
      </w:tr>
      <w:tr w:rsidR="009437A0" w:rsidRPr="00E21BEC" w:rsidTr="00E02078">
        <w:trPr>
          <w:trHeight w:val="40"/>
        </w:trPr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7A0" w:rsidRPr="00E21BEC" w:rsidRDefault="009437A0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7A0" w:rsidRPr="00E21BEC" w:rsidRDefault="009437A0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Enteritis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7A0" w:rsidRDefault="009437A0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11/38 (28.9%)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7A0" w:rsidRPr="00E21BEC" w:rsidRDefault="009437A0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0/13 (0.0%)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7A0" w:rsidRDefault="009437A0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11/25 (44.0%)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7A0" w:rsidRDefault="009437A0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Not calculated</w:t>
            </w:r>
          </w:p>
        </w:tc>
      </w:tr>
      <w:tr w:rsidR="009437A0" w:rsidRPr="00E21BEC" w:rsidTr="00E02078">
        <w:trPr>
          <w:trHeight w:val="40"/>
        </w:trPr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7A0" w:rsidRPr="00E21BEC" w:rsidRDefault="009437A0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7A0" w:rsidRPr="00E21BEC" w:rsidRDefault="009437A0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Colitis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7A0" w:rsidRDefault="009437A0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32/38 (84.2%)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7A0" w:rsidRPr="00E21BEC" w:rsidRDefault="009437A0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13/13 (100.0%)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7A0" w:rsidRDefault="009437A0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19/25 (76.0%)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7A0" w:rsidRDefault="009437A0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Not calculated</w:t>
            </w:r>
          </w:p>
        </w:tc>
      </w:tr>
      <w:tr w:rsidR="009437A0" w:rsidRPr="00E21BEC" w:rsidTr="00E02078">
        <w:trPr>
          <w:trHeight w:val="285"/>
        </w:trPr>
        <w:tc>
          <w:tcPr>
            <w:tcW w:w="98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A0" w:rsidRPr="00E21BEC" w:rsidRDefault="009437A0" w:rsidP="00621FDE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Hospital course outcomes</w:t>
            </w:r>
          </w:p>
        </w:tc>
      </w:tr>
      <w:tr w:rsidR="009437A0" w:rsidRPr="00E21BEC" w:rsidTr="00E02078">
        <w:trPr>
          <w:trHeight w:val="71"/>
        </w:trPr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37A0" w:rsidRPr="00E21BEC" w:rsidRDefault="009437A0" w:rsidP="00621FDE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21BEC">
              <w:rPr>
                <w:rFonts w:eastAsia="Times New Roman" w:cs="Calibri"/>
                <w:color w:val="000000"/>
                <w:sz w:val="20"/>
                <w:szCs w:val="20"/>
              </w:rPr>
              <w:t>Admissions</w:t>
            </w: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7A0" w:rsidRPr="00E21BEC" w:rsidRDefault="009437A0" w:rsidP="00621FDE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13/38 (34.2%)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A0" w:rsidRPr="00E21BEC" w:rsidRDefault="009437A0" w:rsidP="00621FDE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21BEC">
              <w:rPr>
                <w:rFonts w:eastAsia="Times New Roman" w:cs="Calibri"/>
                <w:color w:val="000000"/>
                <w:sz w:val="20"/>
                <w:szCs w:val="20"/>
              </w:rPr>
              <w:t>2/13 (15.4%)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7A0" w:rsidRPr="00E21BEC" w:rsidRDefault="009437A0" w:rsidP="00621FDE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11/25 (44.0%)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7A0" w:rsidRPr="00E21BEC" w:rsidRDefault="009437A0" w:rsidP="00621FDE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0.148</w:t>
            </w:r>
          </w:p>
        </w:tc>
      </w:tr>
      <w:tr w:rsidR="009437A0" w:rsidRPr="00E21BEC" w:rsidTr="00E02078">
        <w:trPr>
          <w:trHeight w:val="40"/>
        </w:trPr>
        <w:tc>
          <w:tcPr>
            <w:tcW w:w="98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A0" w:rsidRPr="00E21BEC" w:rsidRDefault="009437A0" w:rsidP="00621FDE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21BEC">
              <w:rPr>
                <w:rFonts w:eastAsia="Times New Roman" w:cs="Calibri"/>
                <w:color w:val="000000"/>
                <w:sz w:val="20"/>
                <w:szCs w:val="20"/>
              </w:rPr>
              <w:t>Length of stay (days)</w:t>
            </w:r>
          </w:p>
        </w:tc>
      </w:tr>
      <w:tr w:rsidR="009437A0" w:rsidRPr="00E21BEC" w:rsidTr="00E02078">
        <w:trPr>
          <w:trHeight w:val="53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A0" w:rsidRPr="00E21BEC" w:rsidRDefault="009437A0" w:rsidP="00621FDE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21BEC">
              <w:rPr>
                <w:rFonts w:eastAsia="Times New Roman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A0" w:rsidRPr="00E21BEC" w:rsidRDefault="009437A0" w:rsidP="00621FDE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21BEC">
              <w:rPr>
                <w:rFonts w:eastAsia="Times New Roman" w:cs="Calibri"/>
                <w:color w:val="000000"/>
                <w:sz w:val="20"/>
                <w:szCs w:val="20"/>
              </w:rPr>
              <w:t>Mean +/- SD</w:t>
            </w: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7A0" w:rsidRPr="00E21BEC" w:rsidRDefault="009437A0" w:rsidP="00621FDE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8.8 +/- 4.0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A0" w:rsidRPr="00E21BEC" w:rsidRDefault="009437A0" w:rsidP="00621FDE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21BEC">
              <w:rPr>
                <w:rFonts w:eastAsia="Times New Roman" w:cs="Calibri"/>
                <w:color w:val="000000"/>
                <w:sz w:val="20"/>
                <w:szCs w:val="20"/>
              </w:rPr>
              <w:t>7.5 +/- 2.1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7A0" w:rsidRPr="00E21BEC" w:rsidRDefault="009437A0" w:rsidP="00621FDE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9.1 +/- 4.3</w:t>
            </w:r>
          </w:p>
        </w:tc>
        <w:tc>
          <w:tcPr>
            <w:tcW w:w="120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A0" w:rsidRPr="00BC42D9" w:rsidRDefault="009437A0" w:rsidP="00621FDE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0.630</w:t>
            </w:r>
          </w:p>
          <w:p w:rsidR="009437A0" w:rsidRPr="00BC42D9" w:rsidRDefault="009437A0" w:rsidP="00621FDE">
            <w:pPr>
              <w:pStyle w:val="MSHpreferred"/>
              <w:rPr>
                <w:rFonts w:eastAsia="Times New Roman" w:cs="Calibri"/>
                <w:color w:val="000000"/>
                <w:sz w:val="10"/>
                <w:szCs w:val="10"/>
              </w:rPr>
            </w:pPr>
          </w:p>
        </w:tc>
      </w:tr>
      <w:tr w:rsidR="009437A0" w:rsidRPr="00E21BEC" w:rsidTr="00E02078">
        <w:trPr>
          <w:trHeight w:val="4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A0" w:rsidRPr="00E21BEC" w:rsidRDefault="009437A0" w:rsidP="00621FDE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21BEC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A0" w:rsidRPr="00E21BEC" w:rsidRDefault="009437A0" w:rsidP="00621FDE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21BEC">
              <w:rPr>
                <w:rFonts w:eastAsia="Times New Roman" w:cs="Calibri"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7A0" w:rsidRPr="00E21BEC" w:rsidRDefault="009437A0" w:rsidP="00621FDE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A0" w:rsidRPr="00E21BEC" w:rsidRDefault="009437A0" w:rsidP="00621FDE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21BEC">
              <w:rPr>
                <w:rFonts w:eastAsia="Times New Roman" w:cs="Calibri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7A0" w:rsidRPr="00E21BEC" w:rsidRDefault="009437A0" w:rsidP="00621FDE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120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A0" w:rsidRPr="00E21BEC" w:rsidRDefault="009437A0" w:rsidP="00621FDE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437A0" w:rsidRPr="00E21BEC" w:rsidTr="00E02078">
        <w:trPr>
          <w:trHeight w:val="40"/>
        </w:trPr>
        <w:tc>
          <w:tcPr>
            <w:tcW w:w="98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A0" w:rsidRPr="00A201A0" w:rsidRDefault="009437A0" w:rsidP="00621FDE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201A0">
              <w:rPr>
                <w:rFonts w:eastAsia="Times New Roman" w:cs="Calibri"/>
                <w:color w:val="000000"/>
                <w:sz w:val="20"/>
                <w:szCs w:val="20"/>
              </w:rPr>
              <w:t>Time from symptom onset to GEC symptom resolution (days)</w:t>
            </w:r>
          </w:p>
        </w:tc>
      </w:tr>
      <w:tr w:rsidR="009437A0" w:rsidRPr="00E21BEC" w:rsidTr="00E02078">
        <w:trPr>
          <w:trHeight w:val="40"/>
        </w:trPr>
        <w:tc>
          <w:tcPr>
            <w:tcW w:w="4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A0" w:rsidRPr="00A201A0" w:rsidRDefault="009437A0" w:rsidP="00621FDE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201A0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A0" w:rsidRPr="00A201A0" w:rsidRDefault="009437A0" w:rsidP="00621FDE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201A0">
              <w:rPr>
                <w:rFonts w:eastAsia="Times New Roman" w:cs="Calibri"/>
                <w:color w:val="000000"/>
                <w:sz w:val="20"/>
                <w:szCs w:val="20"/>
              </w:rPr>
              <w:t>Mean +/- SD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7A0" w:rsidRPr="00A201A0" w:rsidRDefault="009437A0" w:rsidP="00621FDE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54.9 +/- 38.1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A0" w:rsidRPr="00A201A0" w:rsidRDefault="009437A0" w:rsidP="00621FDE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201A0">
              <w:rPr>
                <w:rFonts w:eastAsia="Times New Roman" w:cs="Calibri"/>
                <w:color w:val="000000"/>
                <w:sz w:val="20"/>
                <w:szCs w:val="20"/>
              </w:rPr>
              <w:t>50.1 +/- 21.2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7A0" w:rsidRPr="00A201A0" w:rsidRDefault="009437A0" w:rsidP="00621FDE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57.4 +/- 44.6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A0" w:rsidRPr="00A201A0" w:rsidRDefault="009437A0" w:rsidP="00621FDE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201A0">
              <w:rPr>
                <w:rFonts w:eastAsia="Times New Roman" w:cs="Calibri"/>
                <w:color w:val="000000"/>
                <w:sz w:val="20"/>
                <w:szCs w:val="20"/>
              </w:rPr>
              <w:t>0.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579</w:t>
            </w:r>
          </w:p>
          <w:p w:rsidR="009437A0" w:rsidRPr="00EA3D74" w:rsidRDefault="009437A0" w:rsidP="00621FDE">
            <w:pPr>
              <w:pStyle w:val="MSHpreferred"/>
              <w:rPr>
                <w:rFonts w:eastAsia="Times New Roman" w:cs="Calibri"/>
                <w:color w:val="000000"/>
                <w:sz w:val="15"/>
                <w:szCs w:val="15"/>
              </w:rPr>
            </w:pPr>
          </w:p>
        </w:tc>
      </w:tr>
      <w:tr w:rsidR="009437A0" w:rsidRPr="00E21BEC" w:rsidTr="00E02078">
        <w:trPr>
          <w:trHeight w:val="40"/>
        </w:trPr>
        <w:tc>
          <w:tcPr>
            <w:tcW w:w="4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A0" w:rsidRPr="00A201A0" w:rsidRDefault="009437A0" w:rsidP="00621FDE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201A0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A0" w:rsidRPr="00A201A0" w:rsidRDefault="009437A0" w:rsidP="00621FDE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201A0">
              <w:rPr>
                <w:rFonts w:eastAsia="Times New Roman" w:cs="Calibri"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7A0" w:rsidRPr="00A201A0" w:rsidRDefault="009437A0" w:rsidP="00621FDE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50.5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A0" w:rsidRPr="00A201A0" w:rsidRDefault="009437A0" w:rsidP="00621FDE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201A0">
              <w:rPr>
                <w:rFonts w:eastAsia="Times New Roman" w:cs="Calibri"/>
                <w:color w:val="000000"/>
                <w:sz w:val="20"/>
                <w:szCs w:val="20"/>
              </w:rPr>
              <w:t>52.0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7A0" w:rsidRPr="00A201A0" w:rsidRDefault="009437A0" w:rsidP="00621FDE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42.0</w:t>
            </w: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A0" w:rsidRPr="00A201A0" w:rsidRDefault="009437A0" w:rsidP="00621FDE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437A0" w:rsidRPr="00E21BEC" w:rsidTr="00E02078">
        <w:trPr>
          <w:trHeight w:val="40"/>
        </w:trPr>
        <w:tc>
          <w:tcPr>
            <w:tcW w:w="98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A0" w:rsidRPr="00A201A0" w:rsidRDefault="009437A0" w:rsidP="00621FDE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201A0">
              <w:rPr>
                <w:rFonts w:eastAsia="Times New Roman" w:cs="Calibri"/>
                <w:color w:val="000000"/>
                <w:sz w:val="20"/>
                <w:szCs w:val="20"/>
              </w:rPr>
              <w:t>Time from treatment to GEC symptom resolution (days)</w:t>
            </w:r>
          </w:p>
        </w:tc>
      </w:tr>
      <w:tr w:rsidR="009437A0" w:rsidRPr="00E21BEC" w:rsidTr="00E02078">
        <w:trPr>
          <w:trHeight w:val="40"/>
        </w:trPr>
        <w:tc>
          <w:tcPr>
            <w:tcW w:w="4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A0" w:rsidRPr="00A201A0" w:rsidRDefault="009437A0" w:rsidP="00621FDE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201A0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A0" w:rsidRPr="00A201A0" w:rsidRDefault="009437A0" w:rsidP="00621FDE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201A0">
              <w:rPr>
                <w:rFonts w:eastAsia="Times New Roman" w:cs="Calibri"/>
                <w:color w:val="000000"/>
                <w:sz w:val="20"/>
                <w:szCs w:val="20"/>
              </w:rPr>
              <w:t>Mean +/- SD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7A0" w:rsidRPr="00A201A0" w:rsidRDefault="009437A0" w:rsidP="00621FDE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27.3 +/- 23.3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A0" w:rsidRPr="00A201A0" w:rsidRDefault="009437A0" w:rsidP="00621FDE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201A0">
              <w:rPr>
                <w:rFonts w:eastAsia="Times New Roman" w:cs="Calibri"/>
                <w:color w:val="000000"/>
                <w:sz w:val="20"/>
                <w:szCs w:val="20"/>
              </w:rPr>
              <w:t>16.9 +/- 11.8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7A0" w:rsidRPr="00A201A0" w:rsidRDefault="009437A0" w:rsidP="00621FDE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32.8 +/- 26.0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A0" w:rsidRPr="00B1523F" w:rsidRDefault="009437A0" w:rsidP="00621FDE">
            <w:pPr>
              <w:pStyle w:val="MSHpreferred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1523F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0.045*</w:t>
            </w:r>
          </w:p>
          <w:p w:rsidR="009437A0" w:rsidRPr="00EA3D74" w:rsidRDefault="009437A0" w:rsidP="00621FDE">
            <w:pPr>
              <w:pStyle w:val="MSHpreferred"/>
              <w:rPr>
                <w:rFonts w:eastAsia="Times New Roman" w:cs="Calibri"/>
                <w:color w:val="000000"/>
                <w:sz w:val="15"/>
                <w:szCs w:val="15"/>
              </w:rPr>
            </w:pPr>
          </w:p>
        </w:tc>
      </w:tr>
      <w:tr w:rsidR="009437A0" w:rsidRPr="00E21BEC" w:rsidTr="00E02078">
        <w:trPr>
          <w:trHeight w:val="40"/>
        </w:trPr>
        <w:tc>
          <w:tcPr>
            <w:tcW w:w="4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A0" w:rsidRPr="00A201A0" w:rsidRDefault="009437A0" w:rsidP="00621FDE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201A0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A0" w:rsidRPr="00A201A0" w:rsidRDefault="009437A0" w:rsidP="00621FDE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201A0">
              <w:rPr>
                <w:rFonts w:eastAsia="Times New Roman" w:cs="Calibri"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7A0" w:rsidRPr="00A201A0" w:rsidRDefault="009437A0" w:rsidP="00621FDE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21.0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A0" w:rsidRPr="00A201A0" w:rsidRDefault="009437A0" w:rsidP="00621FDE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201A0">
              <w:rPr>
                <w:rFonts w:eastAsia="Times New Roman" w:cs="Calibri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7A0" w:rsidRPr="00A201A0" w:rsidRDefault="009437A0" w:rsidP="00621FDE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23.0</w:t>
            </w: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A0" w:rsidRPr="00A201A0" w:rsidRDefault="009437A0" w:rsidP="00621FDE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437A0" w:rsidRPr="00E21BEC" w:rsidTr="00E02078">
        <w:trPr>
          <w:trHeight w:val="40"/>
        </w:trPr>
        <w:tc>
          <w:tcPr>
            <w:tcW w:w="98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A0" w:rsidRPr="00E21BEC" w:rsidRDefault="009437A0" w:rsidP="00621FDE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21BEC">
              <w:rPr>
                <w:rFonts w:eastAsia="Times New Roman" w:cs="Calibri"/>
                <w:color w:val="000000"/>
                <w:sz w:val="20"/>
                <w:szCs w:val="20"/>
              </w:rPr>
              <w:t>Absence of symptom recrudescence</w:t>
            </w:r>
          </w:p>
        </w:tc>
      </w:tr>
      <w:tr w:rsidR="009437A0" w:rsidRPr="00E21BEC" w:rsidTr="00E02078">
        <w:trPr>
          <w:trHeight w:val="4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A0" w:rsidRPr="00E21BEC" w:rsidRDefault="009437A0" w:rsidP="00621FDE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21BEC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A0" w:rsidRPr="00E21BEC" w:rsidRDefault="009437A0" w:rsidP="00621FDE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21BEC">
              <w:rPr>
                <w:rFonts w:eastAsia="Times New Roman" w:cs="Calibri"/>
                <w:color w:val="000000"/>
                <w:sz w:val="20"/>
                <w:szCs w:val="20"/>
              </w:rPr>
              <w:t>At 1 month after initial resolution</w:t>
            </w: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7A0" w:rsidRPr="00E21BEC" w:rsidRDefault="009437A0" w:rsidP="00621FDE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28/37 (75.7%)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A0" w:rsidRPr="00E21BEC" w:rsidRDefault="009437A0" w:rsidP="00621FDE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21BEC">
              <w:rPr>
                <w:rFonts w:eastAsia="Times New Roman" w:cs="Calibri"/>
                <w:color w:val="000000"/>
                <w:sz w:val="20"/>
                <w:szCs w:val="20"/>
              </w:rPr>
              <w:t>10/12 (83.3%)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7A0" w:rsidRPr="00E21BEC" w:rsidRDefault="009437A0" w:rsidP="00621FDE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18/25 (72.0%)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7A0" w:rsidRPr="00E21BEC" w:rsidRDefault="009437A0" w:rsidP="00621FDE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0.687</w:t>
            </w:r>
          </w:p>
        </w:tc>
      </w:tr>
      <w:tr w:rsidR="009437A0" w:rsidRPr="00E21BEC" w:rsidTr="00E02078">
        <w:trPr>
          <w:trHeight w:val="4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A0" w:rsidRPr="00E21BEC" w:rsidRDefault="009437A0" w:rsidP="00621FDE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21BEC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A0" w:rsidRPr="00E21BEC" w:rsidRDefault="009437A0" w:rsidP="00621FDE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21BEC">
              <w:rPr>
                <w:rFonts w:eastAsia="Times New Roman" w:cs="Calibri"/>
                <w:color w:val="000000"/>
                <w:sz w:val="20"/>
                <w:szCs w:val="20"/>
              </w:rPr>
              <w:t>At 2 months after initial resolution</w:t>
            </w: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7A0" w:rsidRPr="00E21BEC" w:rsidRDefault="009437A0" w:rsidP="00621FDE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28/34 (82.4%)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A0" w:rsidRPr="00E21BEC" w:rsidRDefault="009437A0" w:rsidP="00621FDE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21BEC">
              <w:rPr>
                <w:rFonts w:eastAsia="Times New Roman" w:cs="Calibri"/>
                <w:color w:val="000000"/>
                <w:sz w:val="20"/>
                <w:szCs w:val="20"/>
              </w:rPr>
              <w:t>8/11 (72.7%)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7A0" w:rsidRPr="00E21BEC" w:rsidRDefault="009437A0" w:rsidP="00621FDE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20/23 (87.0%)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7A0" w:rsidRPr="00E21BEC" w:rsidRDefault="009437A0" w:rsidP="00621FDE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0.363</w:t>
            </w:r>
          </w:p>
        </w:tc>
      </w:tr>
      <w:tr w:rsidR="009437A0" w:rsidRPr="00E21BEC" w:rsidTr="00E02078">
        <w:trPr>
          <w:trHeight w:val="4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A0" w:rsidRPr="00E21BEC" w:rsidRDefault="009437A0" w:rsidP="00621FDE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21BEC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A0" w:rsidRPr="00E21BEC" w:rsidRDefault="009437A0" w:rsidP="00621FDE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21BEC">
              <w:rPr>
                <w:rFonts w:eastAsia="Times New Roman" w:cs="Calibri"/>
                <w:color w:val="000000"/>
                <w:sz w:val="20"/>
                <w:szCs w:val="20"/>
              </w:rPr>
              <w:t>At 3 months after initial resolution</w:t>
            </w: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7A0" w:rsidRPr="00E21BEC" w:rsidRDefault="009437A0" w:rsidP="00621FDE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27/31 (87.1%)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A0" w:rsidRPr="00E21BEC" w:rsidRDefault="009437A0" w:rsidP="00621FDE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21BEC">
              <w:rPr>
                <w:rFonts w:eastAsia="Times New Roman" w:cs="Calibri"/>
                <w:color w:val="000000"/>
                <w:sz w:val="20"/>
                <w:szCs w:val="20"/>
              </w:rPr>
              <w:t>9/11 (81.8%)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7A0" w:rsidRPr="00E21BEC" w:rsidRDefault="009437A0" w:rsidP="00621FDE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18/20 (90.0%)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7A0" w:rsidRPr="00E21BEC" w:rsidRDefault="009437A0" w:rsidP="00621FDE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0.601</w:t>
            </w:r>
          </w:p>
        </w:tc>
      </w:tr>
      <w:tr w:rsidR="009437A0" w:rsidRPr="00E21BEC" w:rsidTr="00E02078">
        <w:trPr>
          <w:trHeight w:val="4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A0" w:rsidRPr="00E21BEC" w:rsidRDefault="009437A0" w:rsidP="00621FDE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21BEC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A0" w:rsidRPr="00E21BEC" w:rsidRDefault="009437A0" w:rsidP="00621FDE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21BEC">
              <w:rPr>
                <w:rFonts w:eastAsia="Times New Roman" w:cs="Calibri"/>
                <w:color w:val="000000"/>
                <w:sz w:val="20"/>
                <w:szCs w:val="20"/>
              </w:rPr>
              <w:t>At 6 months after initial resolution</w:t>
            </w:r>
          </w:p>
        </w:tc>
        <w:tc>
          <w:tcPr>
            <w:tcW w:w="16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7A0" w:rsidRPr="00E21BEC" w:rsidRDefault="009437A0" w:rsidP="00621FDE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20/24 (83.3%)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A0" w:rsidRPr="00E21BEC" w:rsidRDefault="009437A0" w:rsidP="00621FDE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21BEC">
              <w:rPr>
                <w:rFonts w:eastAsia="Times New Roman" w:cs="Calibri"/>
                <w:color w:val="000000"/>
                <w:sz w:val="20"/>
                <w:szCs w:val="20"/>
              </w:rPr>
              <w:t>6/8 (75.0%)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7A0" w:rsidRPr="00E21BEC" w:rsidRDefault="009437A0" w:rsidP="00621FDE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14/16 (87.5%)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7A0" w:rsidRPr="00E21BEC" w:rsidRDefault="009437A0" w:rsidP="00621FDE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0.578</w:t>
            </w:r>
          </w:p>
        </w:tc>
      </w:tr>
      <w:tr w:rsidR="009437A0" w:rsidRPr="00E21BEC" w:rsidTr="00E02078">
        <w:trPr>
          <w:trHeight w:val="4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A0" w:rsidRPr="00E21BEC" w:rsidRDefault="009437A0" w:rsidP="00621FDE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21BEC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A0" w:rsidRPr="00E21BEC" w:rsidRDefault="009437A0" w:rsidP="00621FDE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21BEC">
              <w:rPr>
                <w:rFonts w:eastAsia="Times New Roman" w:cs="Calibri"/>
                <w:color w:val="000000"/>
                <w:sz w:val="20"/>
                <w:szCs w:val="20"/>
              </w:rPr>
              <w:t>At 12 months after initial resolution</w:t>
            </w: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7A0" w:rsidRPr="00E21BEC" w:rsidRDefault="009437A0" w:rsidP="00621FDE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14/17 (82.4%)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A0" w:rsidRPr="00E21BEC" w:rsidRDefault="009437A0" w:rsidP="00621FDE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21BEC">
              <w:rPr>
                <w:rFonts w:eastAsia="Times New Roman" w:cs="Calibri"/>
                <w:color w:val="000000"/>
                <w:sz w:val="20"/>
                <w:szCs w:val="20"/>
              </w:rPr>
              <w:t>4/6 (66.7%)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7A0" w:rsidRPr="00E21BEC" w:rsidRDefault="009437A0" w:rsidP="00621FDE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10/11 (90.9%)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7A0" w:rsidRPr="00E21BEC" w:rsidRDefault="009437A0" w:rsidP="00621FDE">
            <w:pPr>
              <w:pStyle w:val="MSHpreferred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0.515</w:t>
            </w:r>
          </w:p>
        </w:tc>
      </w:tr>
      <w:tr w:rsidR="009437A0" w:rsidRPr="00E21BEC" w:rsidTr="00E02078">
        <w:trPr>
          <w:trHeight w:val="43"/>
        </w:trPr>
        <w:tc>
          <w:tcPr>
            <w:tcW w:w="98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7A0" w:rsidRPr="00E21BEC" w:rsidRDefault="009437A0" w:rsidP="0052009D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 w:rsidRPr="00E21BEC">
              <w:rPr>
                <w:rFonts w:eastAsia="Times New Roman"/>
                <w:color w:val="000000"/>
                <w:sz w:val="20"/>
                <w:szCs w:val="20"/>
              </w:rPr>
              <w:t>The p-value was calculated by ANOVA for numerical covariates and chi-square test or Fisher’s exact for categorical covariates, where appropriate.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P-values for “Location of histopathologic inflammation” do not add significant meaning to the analysis, given the definitions of our groupings.</w:t>
            </w:r>
          </w:p>
          <w:p w:rsidR="009437A0" w:rsidRPr="00E21BEC" w:rsidRDefault="009437A0" w:rsidP="0052009D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 w:rsidRPr="00E21BEC">
              <w:rPr>
                <w:rFonts w:eastAsia="Times New Roman"/>
                <w:color w:val="000000"/>
                <w:sz w:val="20"/>
                <w:szCs w:val="20"/>
              </w:rPr>
              <w:t>SD: standard deviation</w:t>
            </w:r>
          </w:p>
          <w:p w:rsidR="009437A0" w:rsidRPr="00E21BEC" w:rsidRDefault="009437A0" w:rsidP="0052009D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 w:rsidRPr="00E21BEC">
              <w:rPr>
                <w:rFonts w:eastAsia="Times New Roman"/>
                <w:color w:val="000000"/>
                <w:sz w:val="20"/>
                <w:szCs w:val="20"/>
              </w:rPr>
              <w:t>IQR: interquartile range</w:t>
            </w:r>
          </w:p>
          <w:p w:rsidR="009437A0" w:rsidRPr="00E21BEC" w:rsidRDefault="009437A0" w:rsidP="0052009D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 w:rsidRPr="00E21BEC">
              <w:rPr>
                <w:rFonts w:eastAsia="Times New Roman"/>
                <w:color w:val="000000"/>
                <w:sz w:val="20"/>
                <w:szCs w:val="20"/>
              </w:rPr>
              <w:t>ECOG: Eastern cooperative oncology group</w:t>
            </w:r>
          </w:p>
          <w:p w:rsidR="009437A0" w:rsidRPr="00E21BEC" w:rsidRDefault="009437A0" w:rsidP="0052009D">
            <w:pPr>
              <w:pStyle w:val="MSHpreferred"/>
              <w:rPr>
                <w:rFonts w:eastAsia="Times New Roman"/>
                <w:color w:val="000000"/>
                <w:sz w:val="20"/>
                <w:szCs w:val="20"/>
              </w:rPr>
            </w:pPr>
            <w:r w:rsidRPr="00E21BEC">
              <w:rPr>
                <w:rFonts w:eastAsia="Times New Roman"/>
                <w:color w:val="000000"/>
                <w:sz w:val="20"/>
                <w:szCs w:val="20"/>
              </w:rPr>
              <w:t>CTCAE: common terminology criteria for adverse events</w:t>
            </w:r>
          </w:p>
          <w:p w:rsidR="009437A0" w:rsidRPr="00E21BEC" w:rsidRDefault="009437A0" w:rsidP="0052009D">
            <w:pPr>
              <w:pStyle w:val="MSHpreferred"/>
              <w:rPr>
                <w:rFonts w:eastAsia="Times New Roman"/>
                <w:color w:val="000000"/>
                <w:sz w:val="20"/>
                <w:szCs w:val="20"/>
                <w:lang w:val="es-ES_tradnl"/>
              </w:rPr>
            </w:pPr>
            <w:r w:rsidRPr="00E21BEC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LDH: </w:t>
            </w:r>
            <w:proofErr w:type="spellStart"/>
            <w:r w:rsidRPr="00E21BEC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lactate</w:t>
            </w:r>
            <w:proofErr w:type="spellEnd"/>
            <w:r w:rsidRPr="00E21BEC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21BEC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dehydrogenase</w:t>
            </w:r>
            <w:proofErr w:type="spellEnd"/>
          </w:p>
          <w:p w:rsidR="009437A0" w:rsidRPr="00E21BEC" w:rsidRDefault="009437A0" w:rsidP="0052009D">
            <w:pPr>
              <w:pStyle w:val="MSHpreferred"/>
              <w:rPr>
                <w:rFonts w:eastAsia="Times New Roman"/>
                <w:color w:val="000000"/>
                <w:sz w:val="20"/>
                <w:szCs w:val="20"/>
                <w:lang w:val="es-ES_tradnl"/>
              </w:rPr>
            </w:pPr>
            <w:r w:rsidRPr="00E21BEC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GI: gastrointestinal</w:t>
            </w:r>
          </w:p>
          <w:p w:rsidR="009437A0" w:rsidRPr="00E21BEC" w:rsidRDefault="009437A0" w:rsidP="0052009D">
            <w:pPr>
              <w:pStyle w:val="MSHpreferred"/>
              <w:rPr>
                <w:rFonts w:eastAsia="Times New Roman"/>
                <w:color w:val="000000"/>
                <w:sz w:val="20"/>
                <w:szCs w:val="20"/>
                <w:lang w:val="es-ES_tradnl"/>
              </w:rPr>
            </w:pPr>
            <w:r w:rsidRPr="00E21BEC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EGD: </w:t>
            </w:r>
            <w:proofErr w:type="spellStart"/>
            <w:r w:rsidRPr="00E21BEC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esophagogastroduodenoscopic</w:t>
            </w:r>
            <w:proofErr w:type="spellEnd"/>
          </w:p>
        </w:tc>
      </w:tr>
    </w:tbl>
    <w:p w:rsidR="001F10D7" w:rsidRDefault="001F10D7" w:rsidP="0052009D">
      <w:pPr>
        <w:pStyle w:val="MSHpreferred"/>
      </w:pPr>
    </w:p>
    <w:p w:rsidR="001F10D7" w:rsidRDefault="001F10D7">
      <w:pPr>
        <w:rPr>
          <w:rFonts w:ascii="Garamond" w:hAnsi="Garamond"/>
        </w:rPr>
      </w:pPr>
      <w:r>
        <w:br w:type="page"/>
      </w:r>
    </w:p>
    <w:p w:rsidR="001F10D7" w:rsidRPr="00E21BEC" w:rsidRDefault="001F10D7" w:rsidP="001F10D7">
      <w:pPr>
        <w:pStyle w:val="MSHpreferred"/>
        <w:rPr>
          <w:b/>
        </w:rPr>
      </w:pPr>
      <w:r>
        <w:rPr>
          <w:b/>
        </w:rPr>
        <w:lastRenderedPageBreak/>
        <w:t>Supplemental Figure 1</w:t>
      </w:r>
    </w:p>
    <w:p w:rsidR="001F10D7" w:rsidRPr="00E21BEC" w:rsidRDefault="001F10D7" w:rsidP="001F10D7">
      <w:pPr>
        <w:pStyle w:val="MSHpreferred"/>
      </w:pPr>
      <w:r w:rsidRPr="00E21BEC">
        <w:t xml:space="preserve">Kaplan-Meier survival curves for TTTF and PFS. ** denotes significance at α&lt;0.05. (a) TTTF, stratified by </w:t>
      </w:r>
      <w:r w:rsidR="008D2151">
        <w:t>colitis type</w:t>
      </w:r>
      <w:r w:rsidRPr="00E21BEC">
        <w:t xml:space="preserve">. (b) PFS, stratified by </w:t>
      </w:r>
      <w:r w:rsidR="008062F8">
        <w:t>colitis type</w:t>
      </w:r>
      <w:r w:rsidRPr="00E21BEC">
        <w:t xml:space="preserve">. </w:t>
      </w:r>
      <w:r>
        <w:t>One patient’s clinical response to CPI therapy had not yet been evaluated at time of data collection.</w:t>
      </w:r>
    </w:p>
    <w:p w:rsidR="001F10D7" w:rsidRPr="00E21BEC" w:rsidRDefault="001F10D7" w:rsidP="001F10D7">
      <w:pPr>
        <w:pStyle w:val="MSHpreferred"/>
      </w:pPr>
    </w:p>
    <w:p w:rsidR="000104F6" w:rsidRPr="00602EC0" w:rsidRDefault="00AB2990" w:rsidP="0052009D">
      <w:pPr>
        <w:pStyle w:val="MSHpreferred"/>
      </w:pPr>
      <w:r>
        <w:rPr>
          <w:noProof/>
        </w:rPr>
        <w:drawing>
          <wp:inline distT="0" distB="0" distL="0" distR="0">
            <wp:extent cx="5626143" cy="2986793"/>
            <wp:effectExtent l="0" t="0" r="0" b="4445"/>
            <wp:docPr id="13" name="Picture 13" descr="A screenshot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igS1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43" cy="2986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04F6" w:rsidRPr="00602EC0" w:rsidSect="0088660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19A9235" w15:done="0"/>
  <w15:commentEx w15:paraId="56F8A877" w15:done="0"/>
  <w15:commentEx w15:paraId="348FA27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9A9235" w16cid:durableId="2114FA44"/>
  <w16cid:commentId w16cid:paraId="56F8A877" w16cid:durableId="2114FA37"/>
  <w16cid:commentId w16cid:paraId="348FA27C" w16cid:durableId="2114FA3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3A1" w:rsidRDefault="00A863A1">
      <w:pPr>
        <w:spacing w:after="0" w:line="240" w:lineRule="auto"/>
      </w:pPr>
      <w:r>
        <w:separator/>
      </w:r>
    </w:p>
  </w:endnote>
  <w:endnote w:type="continuationSeparator" w:id="0">
    <w:p w:rsidR="00A863A1" w:rsidRDefault="00A8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ourier New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54450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5BF0" w:rsidRDefault="00C44966">
        <w:pPr>
          <w:pStyle w:val="Footer"/>
          <w:jc w:val="center"/>
        </w:pPr>
        <w:r>
          <w:rPr>
            <w:noProof/>
          </w:rPr>
          <w:fldChar w:fldCharType="begin"/>
        </w:r>
        <w:r w:rsidR="00FF5BF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A774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F5BF0" w:rsidRDefault="00FF5B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3A1" w:rsidRDefault="00A863A1">
      <w:pPr>
        <w:spacing w:after="0" w:line="240" w:lineRule="auto"/>
      </w:pPr>
      <w:r>
        <w:separator/>
      </w:r>
    </w:p>
  </w:footnote>
  <w:footnote w:type="continuationSeparator" w:id="0">
    <w:p w:rsidR="00A863A1" w:rsidRDefault="00A863A1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el Hughes">
    <w15:presenceInfo w15:providerId="Windows Live" w15:userId="065c9a6a9921b95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4F6"/>
    <w:rsid w:val="00000DB4"/>
    <w:rsid w:val="00004E4E"/>
    <w:rsid w:val="000059CF"/>
    <w:rsid w:val="00006CEE"/>
    <w:rsid w:val="000104F6"/>
    <w:rsid w:val="00011716"/>
    <w:rsid w:val="00022BEC"/>
    <w:rsid w:val="000241E4"/>
    <w:rsid w:val="00030DDE"/>
    <w:rsid w:val="00033136"/>
    <w:rsid w:val="00034410"/>
    <w:rsid w:val="000424EB"/>
    <w:rsid w:val="000440AF"/>
    <w:rsid w:val="00046457"/>
    <w:rsid w:val="000521F9"/>
    <w:rsid w:val="00052651"/>
    <w:rsid w:val="000649F5"/>
    <w:rsid w:val="0006503A"/>
    <w:rsid w:val="00070686"/>
    <w:rsid w:val="00070F0D"/>
    <w:rsid w:val="00076671"/>
    <w:rsid w:val="00076FA7"/>
    <w:rsid w:val="00086E64"/>
    <w:rsid w:val="00090A73"/>
    <w:rsid w:val="00091AA0"/>
    <w:rsid w:val="00095568"/>
    <w:rsid w:val="00097EC5"/>
    <w:rsid w:val="000A0BE8"/>
    <w:rsid w:val="000A2345"/>
    <w:rsid w:val="000A5010"/>
    <w:rsid w:val="000A53D8"/>
    <w:rsid w:val="000B35EB"/>
    <w:rsid w:val="000B5517"/>
    <w:rsid w:val="000B61D5"/>
    <w:rsid w:val="000C2411"/>
    <w:rsid w:val="000C35FF"/>
    <w:rsid w:val="000C4069"/>
    <w:rsid w:val="000D3F34"/>
    <w:rsid w:val="000D4CF9"/>
    <w:rsid w:val="000E27C5"/>
    <w:rsid w:val="000E4392"/>
    <w:rsid w:val="000E4F7D"/>
    <w:rsid w:val="000E6342"/>
    <w:rsid w:val="000F4E82"/>
    <w:rsid w:val="00102996"/>
    <w:rsid w:val="00103908"/>
    <w:rsid w:val="00115CC9"/>
    <w:rsid w:val="00115F62"/>
    <w:rsid w:val="001253E2"/>
    <w:rsid w:val="00127012"/>
    <w:rsid w:val="00140347"/>
    <w:rsid w:val="001430BA"/>
    <w:rsid w:val="00143470"/>
    <w:rsid w:val="0014652F"/>
    <w:rsid w:val="001468A0"/>
    <w:rsid w:val="00151850"/>
    <w:rsid w:val="00154239"/>
    <w:rsid w:val="0015592D"/>
    <w:rsid w:val="001573F2"/>
    <w:rsid w:val="00162DA9"/>
    <w:rsid w:val="00165233"/>
    <w:rsid w:val="00177ADD"/>
    <w:rsid w:val="001824CF"/>
    <w:rsid w:val="00183E1D"/>
    <w:rsid w:val="00184471"/>
    <w:rsid w:val="00184D9D"/>
    <w:rsid w:val="00193A7A"/>
    <w:rsid w:val="00196253"/>
    <w:rsid w:val="001B739F"/>
    <w:rsid w:val="001C09B5"/>
    <w:rsid w:val="001C10A7"/>
    <w:rsid w:val="001C1276"/>
    <w:rsid w:val="001C593B"/>
    <w:rsid w:val="001D2281"/>
    <w:rsid w:val="001D4549"/>
    <w:rsid w:val="001E01DD"/>
    <w:rsid w:val="001F10D7"/>
    <w:rsid w:val="001F61D2"/>
    <w:rsid w:val="00213106"/>
    <w:rsid w:val="00215202"/>
    <w:rsid w:val="00227923"/>
    <w:rsid w:val="00246C4E"/>
    <w:rsid w:val="00260C40"/>
    <w:rsid w:val="0026266E"/>
    <w:rsid w:val="00265E40"/>
    <w:rsid w:val="00275205"/>
    <w:rsid w:val="00275C77"/>
    <w:rsid w:val="0028325A"/>
    <w:rsid w:val="00284F67"/>
    <w:rsid w:val="00284FAE"/>
    <w:rsid w:val="002A1F6F"/>
    <w:rsid w:val="002B3358"/>
    <w:rsid w:val="002B3BEA"/>
    <w:rsid w:val="002B5A39"/>
    <w:rsid w:val="002C5C77"/>
    <w:rsid w:val="002C6F49"/>
    <w:rsid w:val="002D0DDC"/>
    <w:rsid w:val="002D12C2"/>
    <w:rsid w:val="002D1422"/>
    <w:rsid w:val="002D5C17"/>
    <w:rsid w:val="002D671E"/>
    <w:rsid w:val="002E5827"/>
    <w:rsid w:val="002E74DB"/>
    <w:rsid w:val="00303B11"/>
    <w:rsid w:val="003046E4"/>
    <w:rsid w:val="003176B3"/>
    <w:rsid w:val="00322644"/>
    <w:rsid w:val="0032548B"/>
    <w:rsid w:val="00327092"/>
    <w:rsid w:val="0033022C"/>
    <w:rsid w:val="00337E06"/>
    <w:rsid w:val="00346327"/>
    <w:rsid w:val="00350803"/>
    <w:rsid w:val="00350FB0"/>
    <w:rsid w:val="00355D7E"/>
    <w:rsid w:val="00357233"/>
    <w:rsid w:val="003657D4"/>
    <w:rsid w:val="00370B72"/>
    <w:rsid w:val="00380DC2"/>
    <w:rsid w:val="0039190D"/>
    <w:rsid w:val="003A5A98"/>
    <w:rsid w:val="003D382E"/>
    <w:rsid w:val="003D510D"/>
    <w:rsid w:val="003D6C5D"/>
    <w:rsid w:val="003D7CFA"/>
    <w:rsid w:val="003E63CF"/>
    <w:rsid w:val="003F0CE5"/>
    <w:rsid w:val="003F3A56"/>
    <w:rsid w:val="00400511"/>
    <w:rsid w:val="00402D19"/>
    <w:rsid w:val="004102B3"/>
    <w:rsid w:val="00415A1B"/>
    <w:rsid w:val="00430606"/>
    <w:rsid w:val="00436EE6"/>
    <w:rsid w:val="0044512B"/>
    <w:rsid w:val="00452306"/>
    <w:rsid w:val="00453A35"/>
    <w:rsid w:val="00454BA6"/>
    <w:rsid w:val="00456B0F"/>
    <w:rsid w:val="00457E02"/>
    <w:rsid w:val="004625B7"/>
    <w:rsid w:val="00466804"/>
    <w:rsid w:val="0047277D"/>
    <w:rsid w:val="004728C5"/>
    <w:rsid w:val="00474C54"/>
    <w:rsid w:val="004760CB"/>
    <w:rsid w:val="00480D7B"/>
    <w:rsid w:val="00481509"/>
    <w:rsid w:val="004844F8"/>
    <w:rsid w:val="00485FAA"/>
    <w:rsid w:val="004923E5"/>
    <w:rsid w:val="004939AE"/>
    <w:rsid w:val="00494B9B"/>
    <w:rsid w:val="004A05B8"/>
    <w:rsid w:val="004A1399"/>
    <w:rsid w:val="004A240D"/>
    <w:rsid w:val="004A4B40"/>
    <w:rsid w:val="004A774E"/>
    <w:rsid w:val="004C5C08"/>
    <w:rsid w:val="004C7A06"/>
    <w:rsid w:val="004D33A6"/>
    <w:rsid w:val="004D6B8D"/>
    <w:rsid w:val="004D6C2F"/>
    <w:rsid w:val="004E0D24"/>
    <w:rsid w:val="004E1EC8"/>
    <w:rsid w:val="004E43C9"/>
    <w:rsid w:val="004E5109"/>
    <w:rsid w:val="004F0827"/>
    <w:rsid w:val="004F46A9"/>
    <w:rsid w:val="005102FC"/>
    <w:rsid w:val="005161E0"/>
    <w:rsid w:val="0052009D"/>
    <w:rsid w:val="00521B26"/>
    <w:rsid w:val="00527BF1"/>
    <w:rsid w:val="00533291"/>
    <w:rsid w:val="00541521"/>
    <w:rsid w:val="005444AD"/>
    <w:rsid w:val="0054525C"/>
    <w:rsid w:val="00550832"/>
    <w:rsid w:val="00555D1E"/>
    <w:rsid w:val="00562CDF"/>
    <w:rsid w:val="005679B3"/>
    <w:rsid w:val="00567FA0"/>
    <w:rsid w:val="005728E8"/>
    <w:rsid w:val="005749A4"/>
    <w:rsid w:val="00585950"/>
    <w:rsid w:val="00587A0B"/>
    <w:rsid w:val="005A2397"/>
    <w:rsid w:val="005A47C8"/>
    <w:rsid w:val="005A4F71"/>
    <w:rsid w:val="005B20B9"/>
    <w:rsid w:val="005C4F9F"/>
    <w:rsid w:val="005C6464"/>
    <w:rsid w:val="005C7C7C"/>
    <w:rsid w:val="005D58C3"/>
    <w:rsid w:val="005D5C8F"/>
    <w:rsid w:val="005E13FA"/>
    <w:rsid w:val="005E1687"/>
    <w:rsid w:val="005E4C63"/>
    <w:rsid w:val="005E5E4D"/>
    <w:rsid w:val="005F01A6"/>
    <w:rsid w:val="005F4949"/>
    <w:rsid w:val="00601BF2"/>
    <w:rsid w:val="00602EC0"/>
    <w:rsid w:val="0060582B"/>
    <w:rsid w:val="00607202"/>
    <w:rsid w:val="00612270"/>
    <w:rsid w:val="00637E34"/>
    <w:rsid w:val="006409F6"/>
    <w:rsid w:val="00640CD5"/>
    <w:rsid w:val="00643651"/>
    <w:rsid w:val="006451BE"/>
    <w:rsid w:val="0064631B"/>
    <w:rsid w:val="00647C57"/>
    <w:rsid w:val="00651392"/>
    <w:rsid w:val="00652B2A"/>
    <w:rsid w:val="00655971"/>
    <w:rsid w:val="00665084"/>
    <w:rsid w:val="00665CA0"/>
    <w:rsid w:val="00677158"/>
    <w:rsid w:val="0068382A"/>
    <w:rsid w:val="00685AED"/>
    <w:rsid w:val="006865D5"/>
    <w:rsid w:val="006A3A65"/>
    <w:rsid w:val="006B7BBB"/>
    <w:rsid w:val="006C3114"/>
    <w:rsid w:val="006C5D01"/>
    <w:rsid w:val="006C7AC8"/>
    <w:rsid w:val="006D2828"/>
    <w:rsid w:val="006D3B19"/>
    <w:rsid w:val="006D3F12"/>
    <w:rsid w:val="006D6772"/>
    <w:rsid w:val="006E1BC3"/>
    <w:rsid w:val="006E2FCC"/>
    <w:rsid w:val="006E4949"/>
    <w:rsid w:val="006F00F7"/>
    <w:rsid w:val="006F1A71"/>
    <w:rsid w:val="006F31BD"/>
    <w:rsid w:val="006F39DF"/>
    <w:rsid w:val="006F5860"/>
    <w:rsid w:val="00701A82"/>
    <w:rsid w:val="00707392"/>
    <w:rsid w:val="00710C2E"/>
    <w:rsid w:val="00721FF4"/>
    <w:rsid w:val="0072388F"/>
    <w:rsid w:val="00724117"/>
    <w:rsid w:val="00726819"/>
    <w:rsid w:val="0073492A"/>
    <w:rsid w:val="00736D59"/>
    <w:rsid w:val="00744AFF"/>
    <w:rsid w:val="00747C15"/>
    <w:rsid w:val="00753D85"/>
    <w:rsid w:val="0076077E"/>
    <w:rsid w:val="007607C2"/>
    <w:rsid w:val="00761D54"/>
    <w:rsid w:val="00761F44"/>
    <w:rsid w:val="00770CA8"/>
    <w:rsid w:val="00775FBD"/>
    <w:rsid w:val="0078226C"/>
    <w:rsid w:val="00783C64"/>
    <w:rsid w:val="007861B3"/>
    <w:rsid w:val="007874D9"/>
    <w:rsid w:val="00793CE3"/>
    <w:rsid w:val="007954A5"/>
    <w:rsid w:val="00797A9A"/>
    <w:rsid w:val="007A2737"/>
    <w:rsid w:val="007A2ABE"/>
    <w:rsid w:val="007B14DC"/>
    <w:rsid w:val="007B1B74"/>
    <w:rsid w:val="007B20CE"/>
    <w:rsid w:val="007B3021"/>
    <w:rsid w:val="007B4287"/>
    <w:rsid w:val="007B4496"/>
    <w:rsid w:val="007C154A"/>
    <w:rsid w:val="007C614F"/>
    <w:rsid w:val="007C6C8E"/>
    <w:rsid w:val="007D08F3"/>
    <w:rsid w:val="007E07B1"/>
    <w:rsid w:val="007E0B52"/>
    <w:rsid w:val="007E4301"/>
    <w:rsid w:val="007E5B30"/>
    <w:rsid w:val="007F3650"/>
    <w:rsid w:val="007F559A"/>
    <w:rsid w:val="007F609B"/>
    <w:rsid w:val="00805DDF"/>
    <w:rsid w:val="008062F8"/>
    <w:rsid w:val="008118A7"/>
    <w:rsid w:val="008141EE"/>
    <w:rsid w:val="00815E74"/>
    <w:rsid w:val="00816448"/>
    <w:rsid w:val="00820E49"/>
    <w:rsid w:val="00826A68"/>
    <w:rsid w:val="00830808"/>
    <w:rsid w:val="008311F8"/>
    <w:rsid w:val="00831743"/>
    <w:rsid w:val="008351B4"/>
    <w:rsid w:val="00863D8F"/>
    <w:rsid w:val="00865395"/>
    <w:rsid w:val="008654A7"/>
    <w:rsid w:val="008679C4"/>
    <w:rsid w:val="00872059"/>
    <w:rsid w:val="0087361F"/>
    <w:rsid w:val="008803C2"/>
    <w:rsid w:val="00884DA5"/>
    <w:rsid w:val="00886605"/>
    <w:rsid w:val="00886ABF"/>
    <w:rsid w:val="008919AF"/>
    <w:rsid w:val="00891F7E"/>
    <w:rsid w:val="008940C9"/>
    <w:rsid w:val="008943C9"/>
    <w:rsid w:val="008969B1"/>
    <w:rsid w:val="008B2FE3"/>
    <w:rsid w:val="008B5021"/>
    <w:rsid w:val="008C2A7C"/>
    <w:rsid w:val="008D2151"/>
    <w:rsid w:val="008D2388"/>
    <w:rsid w:val="008D317E"/>
    <w:rsid w:val="008E6E37"/>
    <w:rsid w:val="008F0CD2"/>
    <w:rsid w:val="008F1112"/>
    <w:rsid w:val="008F2A50"/>
    <w:rsid w:val="008F4145"/>
    <w:rsid w:val="00901936"/>
    <w:rsid w:val="00906023"/>
    <w:rsid w:val="009131F1"/>
    <w:rsid w:val="00914FB8"/>
    <w:rsid w:val="00917BE6"/>
    <w:rsid w:val="00917E51"/>
    <w:rsid w:val="00922D49"/>
    <w:rsid w:val="00937079"/>
    <w:rsid w:val="009437A0"/>
    <w:rsid w:val="009440D7"/>
    <w:rsid w:val="00951A36"/>
    <w:rsid w:val="00952C52"/>
    <w:rsid w:val="00956173"/>
    <w:rsid w:val="00956E8A"/>
    <w:rsid w:val="009606D8"/>
    <w:rsid w:val="00960AA4"/>
    <w:rsid w:val="009611CB"/>
    <w:rsid w:val="0096204F"/>
    <w:rsid w:val="00972D0E"/>
    <w:rsid w:val="00974720"/>
    <w:rsid w:val="0097645D"/>
    <w:rsid w:val="00981C7D"/>
    <w:rsid w:val="009855CD"/>
    <w:rsid w:val="00986D15"/>
    <w:rsid w:val="00986D5A"/>
    <w:rsid w:val="00987A31"/>
    <w:rsid w:val="00991517"/>
    <w:rsid w:val="00992A31"/>
    <w:rsid w:val="009932B6"/>
    <w:rsid w:val="00994C0B"/>
    <w:rsid w:val="00996CA4"/>
    <w:rsid w:val="0099737E"/>
    <w:rsid w:val="009A0151"/>
    <w:rsid w:val="009A3318"/>
    <w:rsid w:val="009A3797"/>
    <w:rsid w:val="009A5FF7"/>
    <w:rsid w:val="009B2BEA"/>
    <w:rsid w:val="009C2E97"/>
    <w:rsid w:val="009C4C75"/>
    <w:rsid w:val="009D5AE7"/>
    <w:rsid w:val="009D6FC4"/>
    <w:rsid w:val="009E229E"/>
    <w:rsid w:val="009E2683"/>
    <w:rsid w:val="009F0223"/>
    <w:rsid w:val="009F1EB0"/>
    <w:rsid w:val="00A019ED"/>
    <w:rsid w:val="00A04B79"/>
    <w:rsid w:val="00A1136B"/>
    <w:rsid w:val="00A14052"/>
    <w:rsid w:val="00A16E11"/>
    <w:rsid w:val="00A1785E"/>
    <w:rsid w:val="00A201A0"/>
    <w:rsid w:val="00A23D84"/>
    <w:rsid w:val="00A24BB1"/>
    <w:rsid w:val="00A27AC8"/>
    <w:rsid w:val="00A411C1"/>
    <w:rsid w:val="00A42297"/>
    <w:rsid w:val="00A44603"/>
    <w:rsid w:val="00A67249"/>
    <w:rsid w:val="00A733A2"/>
    <w:rsid w:val="00A7642A"/>
    <w:rsid w:val="00A76E14"/>
    <w:rsid w:val="00A863A1"/>
    <w:rsid w:val="00A86E40"/>
    <w:rsid w:val="00A95CD5"/>
    <w:rsid w:val="00AA28AF"/>
    <w:rsid w:val="00AA511B"/>
    <w:rsid w:val="00AA55F4"/>
    <w:rsid w:val="00AA7460"/>
    <w:rsid w:val="00AB1C36"/>
    <w:rsid w:val="00AB24BD"/>
    <w:rsid w:val="00AB2990"/>
    <w:rsid w:val="00AC0729"/>
    <w:rsid w:val="00AC0819"/>
    <w:rsid w:val="00AC2159"/>
    <w:rsid w:val="00AC4163"/>
    <w:rsid w:val="00AC5F66"/>
    <w:rsid w:val="00AD0E91"/>
    <w:rsid w:val="00AD1263"/>
    <w:rsid w:val="00AD7944"/>
    <w:rsid w:val="00AE706E"/>
    <w:rsid w:val="00AF495C"/>
    <w:rsid w:val="00B026F1"/>
    <w:rsid w:val="00B06C86"/>
    <w:rsid w:val="00B07B7A"/>
    <w:rsid w:val="00B1523F"/>
    <w:rsid w:val="00B23027"/>
    <w:rsid w:val="00B23BAC"/>
    <w:rsid w:val="00B243C3"/>
    <w:rsid w:val="00B361F8"/>
    <w:rsid w:val="00B42EA3"/>
    <w:rsid w:val="00B45392"/>
    <w:rsid w:val="00B51F47"/>
    <w:rsid w:val="00B53425"/>
    <w:rsid w:val="00B54780"/>
    <w:rsid w:val="00B559A0"/>
    <w:rsid w:val="00B607C3"/>
    <w:rsid w:val="00B6311C"/>
    <w:rsid w:val="00B72562"/>
    <w:rsid w:val="00B73304"/>
    <w:rsid w:val="00B74466"/>
    <w:rsid w:val="00B80694"/>
    <w:rsid w:val="00B830E6"/>
    <w:rsid w:val="00B8607F"/>
    <w:rsid w:val="00BA1333"/>
    <w:rsid w:val="00BA1CB9"/>
    <w:rsid w:val="00BA40DC"/>
    <w:rsid w:val="00BB2224"/>
    <w:rsid w:val="00BB6214"/>
    <w:rsid w:val="00BB6686"/>
    <w:rsid w:val="00BC42D9"/>
    <w:rsid w:val="00BD177F"/>
    <w:rsid w:val="00BE1E09"/>
    <w:rsid w:val="00BE3604"/>
    <w:rsid w:val="00BE3D88"/>
    <w:rsid w:val="00BF0AD0"/>
    <w:rsid w:val="00BF3F53"/>
    <w:rsid w:val="00BF50C7"/>
    <w:rsid w:val="00BF50F0"/>
    <w:rsid w:val="00C01EFF"/>
    <w:rsid w:val="00C0387C"/>
    <w:rsid w:val="00C06A8A"/>
    <w:rsid w:val="00C119DF"/>
    <w:rsid w:val="00C11B04"/>
    <w:rsid w:val="00C20365"/>
    <w:rsid w:val="00C3631C"/>
    <w:rsid w:val="00C44966"/>
    <w:rsid w:val="00C51D45"/>
    <w:rsid w:val="00C52A06"/>
    <w:rsid w:val="00C5392E"/>
    <w:rsid w:val="00C5654E"/>
    <w:rsid w:val="00C619ED"/>
    <w:rsid w:val="00C628D8"/>
    <w:rsid w:val="00C65D55"/>
    <w:rsid w:val="00C70D88"/>
    <w:rsid w:val="00C71E06"/>
    <w:rsid w:val="00C722FC"/>
    <w:rsid w:val="00C75A3A"/>
    <w:rsid w:val="00C82087"/>
    <w:rsid w:val="00CA5D73"/>
    <w:rsid w:val="00CA5E10"/>
    <w:rsid w:val="00CB032C"/>
    <w:rsid w:val="00CC4CEA"/>
    <w:rsid w:val="00CD24A2"/>
    <w:rsid w:val="00CD413B"/>
    <w:rsid w:val="00CE57D4"/>
    <w:rsid w:val="00CF1C07"/>
    <w:rsid w:val="00D10C38"/>
    <w:rsid w:val="00D12645"/>
    <w:rsid w:val="00D149D3"/>
    <w:rsid w:val="00D21341"/>
    <w:rsid w:val="00D21FD0"/>
    <w:rsid w:val="00D24367"/>
    <w:rsid w:val="00D2642C"/>
    <w:rsid w:val="00D333BC"/>
    <w:rsid w:val="00D33D14"/>
    <w:rsid w:val="00D34DC5"/>
    <w:rsid w:val="00D539EB"/>
    <w:rsid w:val="00D57BE6"/>
    <w:rsid w:val="00D639C1"/>
    <w:rsid w:val="00D772A9"/>
    <w:rsid w:val="00D8187A"/>
    <w:rsid w:val="00D84646"/>
    <w:rsid w:val="00D855F9"/>
    <w:rsid w:val="00D8610F"/>
    <w:rsid w:val="00D8687E"/>
    <w:rsid w:val="00D86D77"/>
    <w:rsid w:val="00D91241"/>
    <w:rsid w:val="00D937E6"/>
    <w:rsid w:val="00DA31A2"/>
    <w:rsid w:val="00DA48F0"/>
    <w:rsid w:val="00DA4A0B"/>
    <w:rsid w:val="00DB44CC"/>
    <w:rsid w:val="00DB5A5F"/>
    <w:rsid w:val="00DB5D63"/>
    <w:rsid w:val="00DB63B6"/>
    <w:rsid w:val="00DC1FA0"/>
    <w:rsid w:val="00DD0D1A"/>
    <w:rsid w:val="00DD1662"/>
    <w:rsid w:val="00DD2F6F"/>
    <w:rsid w:val="00DD5BC6"/>
    <w:rsid w:val="00DD751A"/>
    <w:rsid w:val="00DD7FD8"/>
    <w:rsid w:val="00DE574A"/>
    <w:rsid w:val="00DE603B"/>
    <w:rsid w:val="00DF1EF3"/>
    <w:rsid w:val="00DF5FB2"/>
    <w:rsid w:val="00DF68C5"/>
    <w:rsid w:val="00E00A8C"/>
    <w:rsid w:val="00E02078"/>
    <w:rsid w:val="00E024F1"/>
    <w:rsid w:val="00E0369E"/>
    <w:rsid w:val="00E04EED"/>
    <w:rsid w:val="00E179F4"/>
    <w:rsid w:val="00E2035A"/>
    <w:rsid w:val="00E21BEC"/>
    <w:rsid w:val="00E2623E"/>
    <w:rsid w:val="00E3178B"/>
    <w:rsid w:val="00E36D84"/>
    <w:rsid w:val="00E450A3"/>
    <w:rsid w:val="00E54875"/>
    <w:rsid w:val="00E61E05"/>
    <w:rsid w:val="00E62394"/>
    <w:rsid w:val="00E63707"/>
    <w:rsid w:val="00E6380B"/>
    <w:rsid w:val="00E6637C"/>
    <w:rsid w:val="00E670AB"/>
    <w:rsid w:val="00E71134"/>
    <w:rsid w:val="00E75897"/>
    <w:rsid w:val="00E81B84"/>
    <w:rsid w:val="00E85654"/>
    <w:rsid w:val="00E86C90"/>
    <w:rsid w:val="00E943B6"/>
    <w:rsid w:val="00EA2654"/>
    <w:rsid w:val="00EA3D74"/>
    <w:rsid w:val="00EA6D28"/>
    <w:rsid w:val="00EB7FE4"/>
    <w:rsid w:val="00EC3C3D"/>
    <w:rsid w:val="00EC6E94"/>
    <w:rsid w:val="00ED757F"/>
    <w:rsid w:val="00EE0D98"/>
    <w:rsid w:val="00EE44DA"/>
    <w:rsid w:val="00EE6B72"/>
    <w:rsid w:val="00EF6517"/>
    <w:rsid w:val="00EF780F"/>
    <w:rsid w:val="00F0298D"/>
    <w:rsid w:val="00F02C39"/>
    <w:rsid w:val="00F02F18"/>
    <w:rsid w:val="00F06402"/>
    <w:rsid w:val="00F1085F"/>
    <w:rsid w:val="00F200A9"/>
    <w:rsid w:val="00F20951"/>
    <w:rsid w:val="00F21BE1"/>
    <w:rsid w:val="00F22160"/>
    <w:rsid w:val="00F27BBD"/>
    <w:rsid w:val="00F31628"/>
    <w:rsid w:val="00F31BDC"/>
    <w:rsid w:val="00F3393D"/>
    <w:rsid w:val="00F34A74"/>
    <w:rsid w:val="00F44D66"/>
    <w:rsid w:val="00F51BD7"/>
    <w:rsid w:val="00F72C64"/>
    <w:rsid w:val="00F72ED1"/>
    <w:rsid w:val="00F72F85"/>
    <w:rsid w:val="00F731EE"/>
    <w:rsid w:val="00F73BFD"/>
    <w:rsid w:val="00F73EC1"/>
    <w:rsid w:val="00F7576F"/>
    <w:rsid w:val="00F83F87"/>
    <w:rsid w:val="00F849D7"/>
    <w:rsid w:val="00F94935"/>
    <w:rsid w:val="00FA3EC9"/>
    <w:rsid w:val="00FA469C"/>
    <w:rsid w:val="00FA4BD3"/>
    <w:rsid w:val="00FB00ED"/>
    <w:rsid w:val="00FB0169"/>
    <w:rsid w:val="00FB1E79"/>
    <w:rsid w:val="00FB28D9"/>
    <w:rsid w:val="00FB489C"/>
    <w:rsid w:val="00FD00DA"/>
    <w:rsid w:val="00FD4407"/>
    <w:rsid w:val="00FE74A1"/>
    <w:rsid w:val="00FF2E2B"/>
    <w:rsid w:val="00FF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4F6"/>
  </w:style>
  <w:style w:type="paragraph" w:styleId="Heading1">
    <w:name w:val="heading 1"/>
    <w:basedOn w:val="Normal"/>
    <w:next w:val="Normal"/>
    <w:link w:val="Heading1Char"/>
    <w:uiPriority w:val="9"/>
    <w:qFormat/>
    <w:rsid w:val="000104F6"/>
    <w:pPr>
      <w:keepNext/>
      <w:keepLines/>
      <w:spacing w:before="240" w:after="0" w:line="254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04F6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04F6"/>
    <w:pPr>
      <w:keepNext/>
      <w:keepLines/>
      <w:spacing w:before="40" w:after="0" w:line="254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Hpreferred">
    <w:name w:val="MSH preferred"/>
    <w:basedOn w:val="NoSpacing"/>
    <w:link w:val="MSHpreferredChar"/>
    <w:qFormat/>
    <w:rsid w:val="004625B7"/>
    <w:pPr>
      <w:tabs>
        <w:tab w:val="left" w:pos="360"/>
        <w:tab w:val="left" w:pos="720"/>
        <w:tab w:val="left" w:pos="1080"/>
        <w:tab w:val="left" w:pos="1440"/>
      </w:tabs>
    </w:pPr>
    <w:rPr>
      <w:rFonts w:ascii="Garamond" w:hAnsi="Garamond"/>
    </w:rPr>
  </w:style>
  <w:style w:type="character" w:customStyle="1" w:styleId="MSHpreferredChar">
    <w:name w:val="MSH preferred Char"/>
    <w:basedOn w:val="DefaultParagraphFont"/>
    <w:link w:val="MSHpreferred"/>
    <w:rsid w:val="004625B7"/>
    <w:rPr>
      <w:rFonts w:ascii="Garamond" w:hAnsi="Garamond"/>
    </w:rPr>
  </w:style>
  <w:style w:type="paragraph" w:styleId="NoSpacing">
    <w:name w:val="No Spacing"/>
    <w:uiPriority w:val="1"/>
    <w:qFormat/>
    <w:rsid w:val="004625B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104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04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04F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0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4F6"/>
  </w:style>
  <w:style w:type="paragraph" w:styleId="Footer">
    <w:name w:val="footer"/>
    <w:basedOn w:val="Normal"/>
    <w:link w:val="FooterChar"/>
    <w:uiPriority w:val="99"/>
    <w:unhideWhenUsed/>
    <w:rsid w:val="00010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4F6"/>
  </w:style>
  <w:style w:type="character" w:styleId="CommentReference">
    <w:name w:val="annotation reference"/>
    <w:basedOn w:val="DefaultParagraphFont"/>
    <w:uiPriority w:val="99"/>
    <w:semiHidden/>
    <w:unhideWhenUsed/>
    <w:rsid w:val="000104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4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4F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4F6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0104F6"/>
    <w:pPr>
      <w:spacing w:after="0"/>
      <w:jc w:val="center"/>
    </w:pPr>
    <w:rPr>
      <w:rFonts w:ascii="Garamond" w:hAnsi="Garamond"/>
      <w:noProof/>
    </w:rPr>
  </w:style>
  <w:style w:type="character" w:customStyle="1" w:styleId="EndNoteBibliographyTitleChar">
    <w:name w:val="EndNote Bibliography Title Char"/>
    <w:basedOn w:val="MSHpreferredChar"/>
    <w:link w:val="EndNoteBibliographyTitle"/>
    <w:rsid w:val="000104F6"/>
    <w:rPr>
      <w:rFonts w:ascii="Garamond" w:hAnsi="Garamond"/>
      <w:noProof/>
    </w:rPr>
  </w:style>
  <w:style w:type="paragraph" w:customStyle="1" w:styleId="EndNoteBibliography">
    <w:name w:val="EndNote Bibliography"/>
    <w:basedOn w:val="Normal"/>
    <w:link w:val="EndNoteBibliographyChar"/>
    <w:rsid w:val="000104F6"/>
    <w:pPr>
      <w:spacing w:line="240" w:lineRule="auto"/>
    </w:pPr>
    <w:rPr>
      <w:rFonts w:ascii="Garamond" w:hAnsi="Garamond"/>
      <w:noProof/>
    </w:rPr>
  </w:style>
  <w:style w:type="character" w:customStyle="1" w:styleId="EndNoteBibliographyChar">
    <w:name w:val="EndNote Bibliography Char"/>
    <w:basedOn w:val="MSHpreferredChar"/>
    <w:link w:val="EndNoteBibliography"/>
    <w:rsid w:val="000104F6"/>
    <w:rPr>
      <w:rFonts w:ascii="Garamond" w:hAnsi="Garamond"/>
      <w:noProof/>
    </w:rPr>
  </w:style>
  <w:style w:type="character" w:styleId="Hyperlink">
    <w:name w:val="Hyperlink"/>
    <w:basedOn w:val="DefaultParagraphFont"/>
    <w:uiPriority w:val="99"/>
    <w:unhideWhenUsed/>
    <w:rsid w:val="000104F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04F6"/>
    <w:rPr>
      <w:color w:val="605E5C"/>
      <w:shd w:val="clear" w:color="auto" w:fill="E1DFDD"/>
    </w:rPr>
  </w:style>
  <w:style w:type="paragraph" w:customStyle="1" w:styleId="msonormal0">
    <w:name w:val="msonormal"/>
    <w:basedOn w:val="Normal"/>
    <w:uiPriority w:val="99"/>
    <w:semiHidden/>
    <w:rsid w:val="000104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104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4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4F6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104F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104F6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04F6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0104F6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0104F6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0104F6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0104F6"/>
    <w:pPr>
      <w:spacing w:after="100"/>
      <w:ind w:left="440"/>
    </w:pPr>
    <w:rPr>
      <w:rFonts w:eastAsiaTheme="minorEastAsia" w:cs="Times New Roman"/>
    </w:rPr>
  </w:style>
  <w:style w:type="table" w:styleId="TableGrid">
    <w:name w:val="Table Grid"/>
    <w:basedOn w:val="TableNormal"/>
    <w:uiPriority w:val="39"/>
    <w:rsid w:val="00B42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11/relationships/commentsExtended" Target="commentsExtended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12711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Hughes</dc:creator>
  <cp:lastModifiedBy>Partners Information Systems</cp:lastModifiedBy>
  <cp:revision>3</cp:revision>
  <cp:lastPrinted>2019-07-05T22:50:00Z</cp:lastPrinted>
  <dcterms:created xsi:type="dcterms:W3CDTF">2019-09-02T14:53:00Z</dcterms:created>
  <dcterms:modified xsi:type="dcterms:W3CDTF">2019-09-02T14:54:00Z</dcterms:modified>
</cp:coreProperties>
</file>