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FB" w:rsidRDefault="001615FB" w:rsidP="001615FB">
      <w:pPr>
        <w:pStyle w:val="footnote"/>
        <w:spacing w:before="0" w:after="0" w:line="480" w:lineRule="auto"/>
        <w:rPr>
          <w:i w:val="0"/>
          <w:sz w:val="24"/>
          <w:szCs w:val="24"/>
        </w:rPr>
      </w:pPr>
      <w:r>
        <w:rPr>
          <w:b/>
          <w:i w:val="0"/>
          <w:color w:val="000000" w:themeColor="text1"/>
          <w:sz w:val="24"/>
          <w:szCs w:val="24"/>
        </w:rPr>
        <w:t xml:space="preserve">Additional file 3: </w:t>
      </w:r>
      <w:r w:rsidRPr="00CB66B2">
        <w:rPr>
          <w:b/>
          <w:i w:val="0"/>
          <w:color w:val="000000" w:themeColor="text1"/>
          <w:sz w:val="24"/>
          <w:szCs w:val="24"/>
        </w:rPr>
        <w:t>Figure S</w:t>
      </w:r>
      <w:r>
        <w:rPr>
          <w:b/>
          <w:i w:val="0"/>
          <w:color w:val="000000" w:themeColor="text1"/>
          <w:sz w:val="24"/>
          <w:szCs w:val="24"/>
        </w:rPr>
        <w:t>3</w:t>
      </w:r>
      <w:r w:rsidRPr="00CB66B2">
        <w:rPr>
          <w:i w:val="0"/>
          <w:color w:val="000000" w:themeColor="text1"/>
          <w:sz w:val="24"/>
          <w:szCs w:val="24"/>
        </w:rPr>
        <w:t xml:space="preserve"> </w:t>
      </w:r>
      <w:r>
        <w:rPr>
          <w:i w:val="0"/>
          <w:color w:val="000000" w:themeColor="text1"/>
          <w:sz w:val="24"/>
          <w:szCs w:val="24"/>
        </w:rPr>
        <w:t xml:space="preserve">Scatterplot of individual </w:t>
      </w:r>
      <w:proofErr w:type="spellStart"/>
      <w:r>
        <w:rPr>
          <w:i w:val="0"/>
          <w:sz w:val="24"/>
          <w:szCs w:val="24"/>
        </w:rPr>
        <w:t>a</w:t>
      </w:r>
      <w:r w:rsidRPr="00CB66B2">
        <w:rPr>
          <w:i w:val="0"/>
          <w:sz w:val="24"/>
          <w:szCs w:val="24"/>
        </w:rPr>
        <w:t>tezolizumab</w:t>
      </w:r>
      <w:proofErr w:type="spellEnd"/>
      <w:r w:rsidRPr="00CB66B2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(</w:t>
      </w:r>
      <w:r>
        <w:rPr>
          <w:b/>
          <w:i w:val="0"/>
          <w:sz w:val="24"/>
          <w:szCs w:val="24"/>
        </w:rPr>
        <w:t>A</w:t>
      </w:r>
      <w:r>
        <w:rPr>
          <w:i w:val="0"/>
          <w:sz w:val="24"/>
          <w:szCs w:val="24"/>
        </w:rPr>
        <w:t xml:space="preserve">) </w:t>
      </w:r>
      <w:r w:rsidRPr="00CB66B2">
        <w:rPr>
          <w:i w:val="0"/>
          <w:sz w:val="24"/>
          <w:szCs w:val="24"/>
        </w:rPr>
        <w:t xml:space="preserve">clearance and </w:t>
      </w:r>
      <w:r>
        <w:rPr>
          <w:i w:val="0"/>
          <w:sz w:val="24"/>
          <w:szCs w:val="24"/>
        </w:rPr>
        <w:t>(</w:t>
      </w:r>
      <w:r>
        <w:rPr>
          <w:b/>
          <w:i w:val="0"/>
          <w:sz w:val="24"/>
          <w:szCs w:val="24"/>
        </w:rPr>
        <w:t>B</w:t>
      </w:r>
      <w:r>
        <w:rPr>
          <w:i w:val="0"/>
          <w:sz w:val="24"/>
          <w:szCs w:val="24"/>
        </w:rPr>
        <w:t xml:space="preserve">) </w:t>
      </w:r>
      <w:r w:rsidRPr="00CB66B2">
        <w:rPr>
          <w:i w:val="0"/>
          <w:sz w:val="24"/>
          <w:szCs w:val="24"/>
        </w:rPr>
        <w:t>volume of distribution v</w:t>
      </w:r>
      <w:r>
        <w:rPr>
          <w:i w:val="0"/>
          <w:sz w:val="24"/>
          <w:szCs w:val="24"/>
        </w:rPr>
        <w:t xml:space="preserve">ersus body </w:t>
      </w:r>
      <w:r w:rsidRPr="00CB66B2">
        <w:rPr>
          <w:i w:val="0"/>
          <w:sz w:val="24"/>
          <w:szCs w:val="24"/>
        </w:rPr>
        <w:t xml:space="preserve">weight in pediatric and young adult patients. </w:t>
      </w:r>
    </w:p>
    <w:p w:rsidR="001615FB" w:rsidRDefault="001615FB" w:rsidP="001615FB">
      <w:pPr>
        <w:pStyle w:val="footnote"/>
        <w:spacing w:before="0" w:after="0" w:line="48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Solid circles</w:t>
      </w:r>
      <w:r w:rsidRPr="00CB66B2">
        <w:rPr>
          <w:i w:val="0"/>
          <w:sz w:val="24"/>
          <w:szCs w:val="24"/>
        </w:rPr>
        <w:t xml:space="preserve"> represent estimates in 87 patients, </w:t>
      </w:r>
      <w:r>
        <w:rPr>
          <w:i w:val="0"/>
          <w:sz w:val="24"/>
          <w:szCs w:val="24"/>
        </w:rPr>
        <w:t>blue circles</w:t>
      </w:r>
      <w:r w:rsidRPr="00CB66B2">
        <w:rPr>
          <w:i w:val="0"/>
          <w:sz w:val="24"/>
          <w:szCs w:val="24"/>
        </w:rPr>
        <w:t xml:space="preserve"> depict pediatric patients receiving 15 mg/kg q3w</w:t>
      </w:r>
      <w:r>
        <w:rPr>
          <w:i w:val="0"/>
          <w:sz w:val="24"/>
          <w:szCs w:val="24"/>
        </w:rPr>
        <w:t xml:space="preserve"> (</w:t>
      </w:r>
      <w:r w:rsidRPr="005D25FB">
        <w:rPr>
          <w:sz w:val="24"/>
          <w:szCs w:val="24"/>
        </w:rPr>
        <w:t>n</w:t>
      </w:r>
      <w:r>
        <w:rPr>
          <w:i w:val="0"/>
          <w:sz w:val="24"/>
          <w:szCs w:val="24"/>
        </w:rPr>
        <w:t xml:space="preserve"> = 69) up to a maximum of 1200 mg</w:t>
      </w:r>
      <w:r w:rsidRPr="00CB66B2">
        <w:rPr>
          <w:i w:val="0"/>
          <w:sz w:val="24"/>
          <w:szCs w:val="24"/>
        </w:rPr>
        <w:t xml:space="preserve">, while </w:t>
      </w:r>
      <w:r>
        <w:rPr>
          <w:i w:val="0"/>
          <w:sz w:val="24"/>
          <w:szCs w:val="24"/>
        </w:rPr>
        <w:t>red circles</w:t>
      </w:r>
      <w:r w:rsidRPr="00CB66B2">
        <w:rPr>
          <w:i w:val="0"/>
          <w:sz w:val="24"/>
          <w:szCs w:val="24"/>
        </w:rPr>
        <w:t xml:space="preserve"> depict young adult patients receiving 1200 mg q3w</w:t>
      </w:r>
      <w:r>
        <w:rPr>
          <w:i w:val="0"/>
          <w:sz w:val="24"/>
          <w:szCs w:val="24"/>
        </w:rPr>
        <w:t xml:space="preserve"> (</w:t>
      </w:r>
      <w:r w:rsidRPr="005D25FB">
        <w:rPr>
          <w:sz w:val="24"/>
          <w:szCs w:val="24"/>
        </w:rPr>
        <w:t>n</w:t>
      </w:r>
      <w:r>
        <w:rPr>
          <w:i w:val="0"/>
          <w:sz w:val="24"/>
          <w:szCs w:val="24"/>
        </w:rPr>
        <w:t xml:space="preserve"> = 18)</w:t>
      </w:r>
      <w:r w:rsidRPr="00CB66B2">
        <w:rPr>
          <w:i w:val="0"/>
          <w:sz w:val="24"/>
          <w:szCs w:val="24"/>
        </w:rPr>
        <w:t xml:space="preserve">. The line represents </w:t>
      </w:r>
      <w:r>
        <w:rPr>
          <w:i w:val="0"/>
          <w:sz w:val="24"/>
          <w:szCs w:val="24"/>
        </w:rPr>
        <w:t xml:space="preserve">a linear regression </w:t>
      </w:r>
      <w:r w:rsidRPr="00CB66B2">
        <w:rPr>
          <w:i w:val="0"/>
          <w:sz w:val="24"/>
          <w:szCs w:val="24"/>
        </w:rPr>
        <w:t xml:space="preserve">while the shaded </w:t>
      </w:r>
      <w:r>
        <w:rPr>
          <w:i w:val="0"/>
          <w:sz w:val="24"/>
          <w:szCs w:val="24"/>
        </w:rPr>
        <w:t>area</w:t>
      </w:r>
      <w:r w:rsidRPr="00CB66B2">
        <w:rPr>
          <w:i w:val="0"/>
          <w:sz w:val="24"/>
          <w:szCs w:val="24"/>
        </w:rPr>
        <w:t xml:space="preserve"> reflects the </w:t>
      </w:r>
      <w:r>
        <w:rPr>
          <w:i w:val="0"/>
          <w:sz w:val="24"/>
          <w:szCs w:val="24"/>
        </w:rPr>
        <w:t>standard error</w:t>
      </w:r>
      <w:r w:rsidRPr="00CB66B2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of the regression line </w:t>
      </w:r>
      <w:r w:rsidRPr="00CB66B2">
        <w:rPr>
          <w:i w:val="0"/>
          <w:sz w:val="24"/>
          <w:szCs w:val="24"/>
        </w:rPr>
        <w:t xml:space="preserve">for </w:t>
      </w:r>
      <w:r>
        <w:rPr>
          <w:i w:val="0"/>
          <w:sz w:val="24"/>
          <w:szCs w:val="24"/>
        </w:rPr>
        <w:t xml:space="preserve">the mean </w:t>
      </w:r>
      <w:r w:rsidRPr="00CB66B2">
        <w:rPr>
          <w:i w:val="0"/>
          <w:sz w:val="24"/>
          <w:szCs w:val="24"/>
        </w:rPr>
        <w:t>prediction.</w:t>
      </w:r>
      <w:r>
        <w:rPr>
          <w:i w:val="0"/>
          <w:sz w:val="24"/>
          <w:szCs w:val="24"/>
        </w:rPr>
        <w:t xml:space="preserve"> Abbreviation: </w:t>
      </w:r>
      <w:r w:rsidRPr="00EF789B">
        <w:rPr>
          <w:sz w:val="24"/>
          <w:szCs w:val="24"/>
        </w:rPr>
        <w:t>q3w</w:t>
      </w:r>
      <w:r>
        <w:rPr>
          <w:i w:val="0"/>
          <w:sz w:val="24"/>
          <w:szCs w:val="24"/>
        </w:rPr>
        <w:t xml:space="preserve"> </w:t>
      </w:r>
      <w:r w:rsidRPr="00911F57">
        <w:rPr>
          <w:i w:val="0"/>
          <w:sz w:val="24"/>
          <w:szCs w:val="24"/>
        </w:rPr>
        <w:t>every 3 weeks</w:t>
      </w:r>
    </w:p>
    <w:p w:rsidR="001615FB" w:rsidRPr="00520B31" w:rsidRDefault="001615FB" w:rsidP="001615FB">
      <w:pPr>
        <w:pStyle w:val="footnote"/>
        <w:spacing w:before="0" w:after="0" w:line="480" w:lineRule="auto"/>
        <w:rPr>
          <w:i w:val="0"/>
          <w:sz w:val="24"/>
          <w:szCs w:val="24"/>
        </w:rPr>
      </w:pPr>
      <w:r w:rsidRPr="00BB5E62">
        <w:rPr>
          <w:i w:val="0"/>
          <w:noProof/>
          <w:sz w:val="24"/>
          <w:szCs w:val="24"/>
        </w:rPr>
        <w:drawing>
          <wp:inline distT="0" distB="0" distL="0" distR="0" wp14:anchorId="04482F78" wp14:editId="6051C9A3">
            <wp:extent cx="5454650" cy="5162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E5" w:rsidRDefault="00023FE5">
      <w:bookmarkStart w:id="0" w:name="_GoBack"/>
      <w:bookmarkEnd w:id="0"/>
    </w:p>
    <w:sectPr w:rsidR="00023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E5"/>
    <w:rsid w:val="00023FE5"/>
    <w:rsid w:val="001615FB"/>
    <w:rsid w:val="00310801"/>
    <w:rsid w:val="00EA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E5"/>
    <w:rPr>
      <w:rFonts w:ascii="Tahoma" w:eastAsia="Times New Roman" w:hAnsi="Tahoma" w:cs="Tahoma"/>
      <w:sz w:val="16"/>
      <w:szCs w:val="16"/>
    </w:rPr>
  </w:style>
  <w:style w:type="paragraph" w:customStyle="1" w:styleId="footnote">
    <w:name w:val="footnote"/>
    <w:basedOn w:val="Normal"/>
    <w:link w:val="footnoteChar"/>
    <w:qFormat/>
    <w:rsid w:val="00EA07E4"/>
    <w:pPr>
      <w:autoSpaceDE w:val="0"/>
      <w:autoSpaceDN w:val="0"/>
      <w:adjustRightInd w:val="0"/>
      <w:spacing w:before="120" w:after="240"/>
    </w:pPr>
    <w:rPr>
      <w:rFonts w:eastAsiaTheme="minorHAnsi" w:cstheme="minorBidi"/>
      <w:i/>
      <w:sz w:val="18"/>
      <w:szCs w:val="18"/>
    </w:rPr>
  </w:style>
  <w:style w:type="character" w:customStyle="1" w:styleId="footnoteChar">
    <w:name w:val="footnote Char"/>
    <w:basedOn w:val="DefaultParagraphFont"/>
    <w:link w:val="footnote"/>
    <w:rsid w:val="00EA07E4"/>
    <w:rPr>
      <w:rFonts w:ascii="Times New Roman" w:hAnsi="Times New Roman"/>
      <w:i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E5"/>
    <w:rPr>
      <w:rFonts w:ascii="Tahoma" w:eastAsia="Times New Roman" w:hAnsi="Tahoma" w:cs="Tahoma"/>
      <w:sz w:val="16"/>
      <w:szCs w:val="16"/>
    </w:rPr>
  </w:style>
  <w:style w:type="paragraph" w:customStyle="1" w:styleId="footnote">
    <w:name w:val="footnote"/>
    <w:basedOn w:val="Normal"/>
    <w:link w:val="footnoteChar"/>
    <w:qFormat/>
    <w:rsid w:val="00EA07E4"/>
    <w:pPr>
      <w:autoSpaceDE w:val="0"/>
      <w:autoSpaceDN w:val="0"/>
      <w:adjustRightInd w:val="0"/>
      <w:spacing w:before="120" w:after="240"/>
    </w:pPr>
    <w:rPr>
      <w:rFonts w:eastAsiaTheme="minorHAnsi" w:cstheme="minorBidi"/>
      <w:i/>
      <w:sz w:val="18"/>
      <w:szCs w:val="18"/>
    </w:rPr>
  </w:style>
  <w:style w:type="character" w:customStyle="1" w:styleId="footnoteChar">
    <w:name w:val="footnote Char"/>
    <w:basedOn w:val="DefaultParagraphFont"/>
    <w:link w:val="footnote"/>
    <w:rsid w:val="00EA07E4"/>
    <w:rPr>
      <w:rFonts w:ascii="Times New Roman" w:hAnsi="Times New Roman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OF46</dc:creator>
  <cp:lastModifiedBy>OF46</cp:lastModifiedBy>
  <cp:revision>2</cp:revision>
  <dcterms:created xsi:type="dcterms:W3CDTF">2019-11-09T12:49:00Z</dcterms:created>
  <dcterms:modified xsi:type="dcterms:W3CDTF">2019-11-09T12:49:00Z</dcterms:modified>
</cp:coreProperties>
</file>