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28" w:rsidRPr="00E827B5" w:rsidRDefault="00DD1E28" w:rsidP="00DD1E28">
      <w:pPr>
        <w:spacing w:line="480" w:lineRule="auto"/>
        <w:rPr>
          <w:bCs/>
        </w:rPr>
      </w:pPr>
      <w:r>
        <w:rPr>
          <w:rFonts w:eastAsiaTheme="minorHAnsi" w:cstheme="minorBidi"/>
          <w:b/>
          <w:color w:val="000000" w:themeColor="text1"/>
        </w:rPr>
        <w:t xml:space="preserve">Additional file 4: </w:t>
      </w:r>
      <w:r w:rsidRPr="00827B9C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S</w:t>
      </w:r>
      <w:r w:rsidRPr="00827B9C">
        <w:rPr>
          <w:b/>
          <w:color w:val="000000" w:themeColor="text1"/>
        </w:rPr>
        <w:t>1</w:t>
      </w:r>
      <w:r w:rsidRPr="00203685">
        <w:t xml:space="preserve"> </w:t>
      </w:r>
      <w:r w:rsidRPr="00297CC0">
        <w:rPr>
          <w:bCs/>
        </w:rPr>
        <w:t xml:space="preserve">Geometric </w:t>
      </w:r>
      <w:r>
        <w:rPr>
          <w:bCs/>
        </w:rPr>
        <w:t>m</w:t>
      </w:r>
      <w:r w:rsidRPr="00297CC0">
        <w:rPr>
          <w:bCs/>
        </w:rPr>
        <w:t xml:space="preserve">ean (CV% </w:t>
      </w:r>
      <w:r>
        <w:rPr>
          <w:bCs/>
        </w:rPr>
        <w:t>g</w:t>
      </w:r>
      <w:r w:rsidRPr="00297CC0">
        <w:rPr>
          <w:bCs/>
        </w:rPr>
        <w:t xml:space="preserve">eo </w:t>
      </w:r>
      <w:r>
        <w:rPr>
          <w:bCs/>
        </w:rPr>
        <w:t>m</w:t>
      </w:r>
      <w:r w:rsidRPr="00297CC0">
        <w:rPr>
          <w:bCs/>
        </w:rPr>
        <w:t xml:space="preserve">ean) </w:t>
      </w:r>
      <w:r>
        <w:rPr>
          <w:bCs/>
        </w:rPr>
        <w:t>p</w:t>
      </w:r>
      <w:r w:rsidRPr="00297CC0">
        <w:rPr>
          <w:bCs/>
        </w:rPr>
        <w:t xml:space="preserve">eak and </w:t>
      </w:r>
      <w:r>
        <w:rPr>
          <w:bCs/>
        </w:rPr>
        <w:t>t</w:t>
      </w:r>
      <w:r w:rsidRPr="00297CC0">
        <w:rPr>
          <w:bCs/>
        </w:rPr>
        <w:t xml:space="preserve">rough </w:t>
      </w:r>
      <w:r>
        <w:rPr>
          <w:bCs/>
        </w:rPr>
        <w:t>concentration</w:t>
      </w:r>
      <w:r w:rsidRPr="00297CC0">
        <w:rPr>
          <w:bCs/>
        </w:rPr>
        <w:t xml:space="preserve"> of </w:t>
      </w:r>
      <w:proofErr w:type="spellStart"/>
      <w:r>
        <w:rPr>
          <w:bCs/>
        </w:rPr>
        <w:t>a</w:t>
      </w:r>
      <w:r w:rsidRPr="00297CC0">
        <w:rPr>
          <w:bCs/>
        </w:rPr>
        <w:t>tezo</w:t>
      </w:r>
      <w:r>
        <w:rPr>
          <w:bCs/>
        </w:rPr>
        <w:t>lizumab</w:t>
      </w:r>
      <w:proofErr w:type="spellEnd"/>
      <w:r w:rsidRPr="00297CC0">
        <w:rPr>
          <w:bCs/>
        </w:rPr>
        <w:t xml:space="preserve"> (</w:t>
      </w:r>
      <w:proofErr w:type="spellStart"/>
      <w:r w:rsidRPr="00297CC0">
        <w:rPr>
          <w:bCs/>
        </w:rPr>
        <w:t>ug</w:t>
      </w:r>
      <w:proofErr w:type="spellEnd"/>
      <w:r w:rsidRPr="00297CC0">
        <w:rPr>
          <w:bCs/>
        </w:rPr>
        <w:t xml:space="preserve">/mL) by ADA </w:t>
      </w:r>
      <w:r>
        <w:rPr>
          <w:bCs/>
        </w:rPr>
        <w:t>s</w:t>
      </w:r>
      <w:r w:rsidRPr="00297CC0">
        <w:rPr>
          <w:bCs/>
        </w:rPr>
        <w:t xml:space="preserve">tatus </w:t>
      </w:r>
      <w:r>
        <w:rPr>
          <w:bCs/>
        </w:rPr>
        <w:t>a</w:t>
      </w:r>
      <w:r w:rsidRPr="00297CC0">
        <w:rPr>
          <w:bCs/>
        </w:rPr>
        <w:t xml:space="preserve">cross </w:t>
      </w:r>
      <w:r>
        <w:rPr>
          <w:bCs/>
        </w:rPr>
        <w:t>m</w:t>
      </w:r>
      <w:r w:rsidRPr="00297CC0">
        <w:rPr>
          <w:bCs/>
        </w:rPr>
        <w:t xml:space="preserve">ultiple </w:t>
      </w:r>
      <w:r>
        <w:rPr>
          <w:bCs/>
        </w:rPr>
        <w:t>c</w:t>
      </w:r>
      <w:r w:rsidRPr="00297CC0">
        <w:rPr>
          <w:bCs/>
        </w:rPr>
        <w:t xml:space="preserve">ycles in </w:t>
      </w:r>
      <w:r>
        <w:rPr>
          <w:bCs/>
        </w:rPr>
        <w:t>p</w:t>
      </w:r>
      <w:r w:rsidRPr="00297CC0">
        <w:rPr>
          <w:bCs/>
        </w:rPr>
        <w:t xml:space="preserve">atients </w:t>
      </w:r>
      <w:r>
        <w:rPr>
          <w:bCs/>
        </w:rPr>
        <w:t xml:space="preserve">aged </w:t>
      </w:r>
      <w:r w:rsidRPr="00297CC0">
        <w:rPr>
          <w:bCs/>
        </w:rPr>
        <w:t>2 to &lt;</w:t>
      </w:r>
      <w:r>
        <w:rPr>
          <w:bCs/>
        </w:rPr>
        <w:t> </w:t>
      </w:r>
      <w:r w:rsidRPr="00297CC0">
        <w:rPr>
          <w:bCs/>
        </w:rPr>
        <w:t>12</w:t>
      </w:r>
      <w:r>
        <w:rPr>
          <w:bCs/>
        </w:rPr>
        <w:t xml:space="preserve"> years</w:t>
      </w:r>
      <w:r w:rsidRPr="00297CC0">
        <w:rPr>
          <w:bCs/>
        </w:rPr>
        <w:t>, 12 to &lt;</w:t>
      </w:r>
      <w:r>
        <w:rPr>
          <w:bCs/>
        </w:rPr>
        <w:t> </w:t>
      </w:r>
      <w:r w:rsidRPr="00297CC0">
        <w:rPr>
          <w:bCs/>
        </w:rPr>
        <w:t>18</w:t>
      </w:r>
      <w:r>
        <w:rPr>
          <w:bCs/>
        </w:rPr>
        <w:t xml:space="preserve"> years</w:t>
      </w:r>
      <w:r w:rsidRPr="00297CC0">
        <w:rPr>
          <w:bCs/>
        </w:rPr>
        <w:t xml:space="preserve">, or </w:t>
      </w:r>
      <w:r w:rsidRPr="00297CC0">
        <w:rPr>
          <w:rFonts w:hint="eastAsia"/>
          <w:bCs/>
        </w:rPr>
        <w:sym w:font="Symbol" w:char="F0B3"/>
      </w:r>
      <w:r>
        <w:rPr>
          <w:bCs/>
        </w:rPr>
        <w:t> </w:t>
      </w:r>
      <w:r w:rsidRPr="00297CC0">
        <w:rPr>
          <w:bCs/>
        </w:rPr>
        <w:t xml:space="preserve">18 </w:t>
      </w:r>
      <w:r>
        <w:rPr>
          <w:bCs/>
        </w:rPr>
        <w:t>y</w:t>
      </w:r>
      <w:r w:rsidRPr="00297CC0">
        <w:rPr>
          <w:bCs/>
        </w:rPr>
        <w:t xml:space="preserve">ears of </w:t>
      </w:r>
      <w:r>
        <w:rPr>
          <w:bCs/>
        </w:rPr>
        <w:t>a</w:t>
      </w:r>
      <w:r w:rsidRPr="00297CC0">
        <w:rPr>
          <w:bCs/>
        </w:rPr>
        <w:t xml:space="preserve">ge </w:t>
      </w:r>
      <w:r>
        <w:rPr>
          <w:bCs/>
        </w:rPr>
        <w:t>r</w:t>
      </w:r>
      <w:r w:rsidRPr="00297CC0">
        <w:rPr>
          <w:bCs/>
        </w:rPr>
        <w:t xml:space="preserve">eceiving 15 mg/kg or 1200 mg </w:t>
      </w:r>
      <w:proofErr w:type="spellStart"/>
      <w:r>
        <w:rPr>
          <w:bCs/>
        </w:rPr>
        <w:t>a</w:t>
      </w:r>
      <w:r w:rsidRPr="00297CC0">
        <w:rPr>
          <w:bCs/>
        </w:rPr>
        <w:t>tezo</w:t>
      </w:r>
      <w:r>
        <w:rPr>
          <w:bCs/>
        </w:rPr>
        <w:t>lizumab</w:t>
      </w:r>
      <w:proofErr w:type="spellEnd"/>
      <w:r w:rsidRPr="00297CC0">
        <w:rPr>
          <w:bCs/>
        </w:rPr>
        <w:t xml:space="preserve"> q3w</w:t>
      </w:r>
    </w:p>
    <w:tbl>
      <w:tblPr>
        <w:tblW w:w="504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701"/>
        <w:gridCol w:w="2126"/>
        <w:gridCol w:w="1559"/>
        <w:gridCol w:w="1955"/>
      </w:tblGrid>
      <w:tr w:rsidR="00DD1E28" w:rsidRPr="00297CC0" w:rsidTr="00652FA9">
        <w:trPr>
          <w:trHeight w:val="1063"/>
          <w:jc w:val="center"/>
        </w:trPr>
        <w:tc>
          <w:tcPr>
            <w:tcW w:w="866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Visit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ADA-negative</w:t>
            </w:r>
          </w:p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 xml:space="preserve">patients, </w:t>
            </w:r>
            <w:r w:rsidRPr="000C0C56">
              <w:rPr>
                <w:rFonts w:eastAsiaTheme="minorEastAsia"/>
                <w:bCs/>
                <w:i/>
              </w:rPr>
              <w:t>n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bCs/>
              </w:rPr>
            </w:pPr>
            <w:r w:rsidRPr="000C0C56">
              <w:rPr>
                <w:rFonts w:eastAsiaTheme="minorEastAsia"/>
                <w:bCs/>
              </w:rPr>
              <w:t>Geometric mean</w:t>
            </w:r>
          </w:p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(CV% geo mean)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ADA-positive</w:t>
            </w:r>
          </w:p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 xml:space="preserve">patients, </w:t>
            </w:r>
            <w:r w:rsidRPr="000C0C56">
              <w:rPr>
                <w:rFonts w:eastAsiaTheme="minorEastAsia"/>
                <w:bCs/>
                <w:i/>
              </w:rPr>
              <w:t>n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Geometric mean</w:t>
            </w:r>
          </w:p>
          <w:p w:rsidR="00DD1E28" w:rsidRPr="000C0C5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0C0C56">
              <w:rPr>
                <w:rFonts w:eastAsiaTheme="minorEastAsia"/>
                <w:bCs/>
              </w:rPr>
              <w:t>(CV% geo mean)</w:t>
            </w:r>
          </w:p>
        </w:tc>
      </w:tr>
      <w:tr w:rsidR="00DD1E28" w:rsidRPr="00297CC0" w:rsidTr="00652FA9">
        <w:trPr>
          <w:trHeight w:val="354"/>
          <w:jc w:val="center"/>
        </w:trPr>
        <w:tc>
          <w:tcPr>
            <w:tcW w:w="866" w:type="pc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  <w:bCs/>
              </w:rPr>
              <w:t xml:space="preserve">Cycle 1 </w:t>
            </w:r>
            <w:r>
              <w:rPr>
                <w:rFonts w:eastAsiaTheme="minorEastAsia"/>
                <w:bCs/>
              </w:rPr>
              <w:t>d</w:t>
            </w:r>
            <w:r w:rsidRPr="00DC42A6">
              <w:rPr>
                <w:rFonts w:eastAsiaTheme="minorEastAsia"/>
                <w:bCs/>
              </w:rPr>
              <w:t>ay 1 post-dose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60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350 (29.2)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384 (25.5)</w:t>
            </w:r>
          </w:p>
        </w:tc>
      </w:tr>
      <w:tr w:rsidR="00DD1E28" w:rsidRPr="00297CC0" w:rsidTr="00652FA9">
        <w:trPr>
          <w:trHeight w:val="354"/>
          <w:jc w:val="center"/>
        </w:trPr>
        <w:tc>
          <w:tcPr>
            <w:tcW w:w="86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  <w:bCs/>
              </w:rPr>
              <w:t xml:space="preserve">Cycle 2 </w:t>
            </w:r>
            <w:r>
              <w:rPr>
                <w:rFonts w:eastAsiaTheme="minorEastAsia"/>
                <w:bCs/>
              </w:rPr>
              <w:t>d</w:t>
            </w:r>
            <w:r w:rsidRPr="00DC42A6">
              <w:rPr>
                <w:rFonts w:eastAsiaTheme="minorEastAsia"/>
                <w:bCs/>
              </w:rPr>
              <w:t>ay 1 pre-dose</w:t>
            </w:r>
          </w:p>
        </w:tc>
        <w:tc>
          <w:tcPr>
            <w:tcW w:w="95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61</w:t>
            </w:r>
          </w:p>
        </w:tc>
        <w:tc>
          <w:tcPr>
            <w:tcW w:w="1197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62.5 (46.7)</w:t>
            </w:r>
          </w:p>
        </w:tc>
        <w:tc>
          <w:tcPr>
            <w:tcW w:w="8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10</w:t>
            </w:r>
          </w:p>
        </w:tc>
        <w:tc>
          <w:tcPr>
            <w:tcW w:w="110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57.0 (54.0)</w:t>
            </w:r>
          </w:p>
        </w:tc>
      </w:tr>
      <w:tr w:rsidR="00DD1E28" w:rsidRPr="00297CC0" w:rsidTr="00652FA9">
        <w:trPr>
          <w:trHeight w:val="354"/>
          <w:jc w:val="center"/>
        </w:trPr>
        <w:tc>
          <w:tcPr>
            <w:tcW w:w="86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  <w:bCs/>
              </w:rPr>
              <w:t xml:space="preserve">Cycle 3 </w:t>
            </w:r>
            <w:r>
              <w:rPr>
                <w:rFonts w:eastAsiaTheme="minorEastAsia"/>
                <w:bCs/>
              </w:rPr>
              <w:t>d</w:t>
            </w:r>
            <w:r w:rsidRPr="00DC42A6">
              <w:rPr>
                <w:rFonts w:eastAsiaTheme="minorEastAsia"/>
                <w:bCs/>
              </w:rPr>
              <w:t>ay 1 pre-dose</w:t>
            </w:r>
          </w:p>
        </w:tc>
        <w:tc>
          <w:tcPr>
            <w:tcW w:w="95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35</w:t>
            </w:r>
          </w:p>
        </w:tc>
        <w:tc>
          <w:tcPr>
            <w:tcW w:w="1197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99.6 (47.8)</w:t>
            </w:r>
          </w:p>
        </w:tc>
        <w:tc>
          <w:tcPr>
            <w:tcW w:w="8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4</w:t>
            </w:r>
          </w:p>
        </w:tc>
        <w:tc>
          <w:tcPr>
            <w:tcW w:w="110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64.4 (59.5)</w:t>
            </w:r>
          </w:p>
        </w:tc>
      </w:tr>
      <w:tr w:rsidR="00DD1E28" w:rsidRPr="00297CC0" w:rsidTr="00652FA9">
        <w:trPr>
          <w:trHeight w:val="354"/>
          <w:jc w:val="center"/>
        </w:trPr>
        <w:tc>
          <w:tcPr>
            <w:tcW w:w="866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  <w:bCs/>
              </w:rPr>
              <w:t xml:space="preserve">Cycle 4 </w:t>
            </w:r>
            <w:r>
              <w:rPr>
                <w:rFonts w:eastAsiaTheme="minorEastAsia"/>
                <w:bCs/>
              </w:rPr>
              <w:t>d</w:t>
            </w:r>
            <w:r w:rsidRPr="00DC42A6">
              <w:rPr>
                <w:rFonts w:eastAsiaTheme="minorEastAsia"/>
                <w:bCs/>
              </w:rPr>
              <w:t>ay 1 pre-dose</w:t>
            </w:r>
          </w:p>
        </w:tc>
        <w:tc>
          <w:tcPr>
            <w:tcW w:w="95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30</w:t>
            </w:r>
          </w:p>
        </w:tc>
        <w:tc>
          <w:tcPr>
            <w:tcW w:w="1197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112 (44.8)</w:t>
            </w:r>
          </w:p>
        </w:tc>
        <w:tc>
          <w:tcPr>
            <w:tcW w:w="878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</w:t>
            </w:r>
          </w:p>
        </w:tc>
        <w:tc>
          <w:tcPr>
            <w:tcW w:w="1101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87.1 (70.0)</w:t>
            </w:r>
          </w:p>
        </w:tc>
      </w:tr>
      <w:tr w:rsidR="00DD1E28" w:rsidRPr="00297CC0" w:rsidTr="00652FA9">
        <w:trPr>
          <w:trHeight w:val="354"/>
          <w:jc w:val="center"/>
        </w:trPr>
        <w:tc>
          <w:tcPr>
            <w:tcW w:w="866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  <w:bCs/>
              </w:rPr>
              <w:t xml:space="preserve">Cycle 4 </w:t>
            </w:r>
            <w:r>
              <w:rPr>
                <w:rFonts w:eastAsiaTheme="minorEastAsia"/>
                <w:bCs/>
              </w:rPr>
              <w:t>d</w:t>
            </w:r>
            <w:r w:rsidRPr="00DC42A6">
              <w:rPr>
                <w:rFonts w:eastAsiaTheme="minorEastAsia"/>
                <w:bCs/>
              </w:rPr>
              <w:t>ay 1 post-dose</w:t>
            </w:r>
          </w:p>
        </w:tc>
        <w:tc>
          <w:tcPr>
            <w:tcW w:w="958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30</w:t>
            </w:r>
          </w:p>
        </w:tc>
        <w:tc>
          <w:tcPr>
            <w:tcW w:w="1197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412 (60.9)</w:t>
            </w:r>
          </w:p>
        </w:tc>
        <w:tc>
          <w:tcPr>
            <w:tcW w:w="878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3</w:t>
            </w:r>
          </w:p>
        </w:tc>
        <w:tc>
          <w:tcPr>
            <w:tcW w:w="1101" w:type="pct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DD1E28" w:rsidRPr="00DC42A6" w:rsidRDefault="00DD1E28" w:rsidP="00652FA9">
            <w:pPr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  <w:r w:rsidRPr="00DC42A6">
              <w:rPr>
                <w:rFonts w:eastAsiaTheme="minorEastAsia"/>
              </w:rPr>
              <w:t>418 (15.5)</w:t>
            </w:r>
          </w:p>
        </w:tc>
      </w:tr>
    </w:tbl>
    <w:p w:rsidR="00DD1E28" w:rsidRPr="00297CC0" w:rsidRDefault="00DD1E28" w:rsidP="00DD1E28">
      <w:pPr>
        <w:spacing w:line="480" w:lineRule="auto"/>
      </w:pPr>
      <w:r>
        <w:t xml:space="preserve">Abbreviations: </w:t>
      </w:r>
      <w:r w:rsidRPr="006C4765">
        <w:rPr>
          <w:i/>
        </w:rPr>
        <w:t>ADA</w:t>
      </w:r>
      <w:r>
        <w:t xml:space="preserve"> anti-drug antibodies, </w:t>
      </w:r>
      <w:r w:rsidRPr="000C0C56">
        <w:rPr>
          <w:i/>
        </w:rPr>
        <w:t>q3w</w:t>
      </w:r>
      <w:r w:rsidRPr="00911F57">
        <w:t xml:space="preserve"> every 3 weeks</w:t>
      </w:r>
    </w:p>
    <w:p w:rsidR="00DD1E28" w:rsidRPr="000C1169" w:rsidRDefault="00DD1E28" w:rsidP="00DD1E28">
      <w:pPr>
        <w:spacing w:line="480" w:lineRule="auto"/>
      </w:pPr>
      <w:r w:rsidRPr="00297CC0">
        <w:t xml:space="preserve">Given the small sample size, exposure relationships by treatment-emergent ADA status is presented across all ages and includes a combination of patients aged 2 to </w:t>
      </w:r>
      <w:r w:rsidRPr="00297CC0">
        <w:rPr>
          <w:rFonts w:hint="eastAsia"/>
        </w:rPr>
        <w:sym w:font="Symbol" w:char="F03C"/>
      </w:r>
      <w:r>
        <w:t> </w:t>
      </w:r>
      <w:r w:rsidRPr="00297CC0">
        <w:t>12</w:t>
      </w:r>
      <w:r>
        <w:t xml:space="preserve"> years</w:t>
      </w:r>
      <w:r w:rsidRPr="00297CC0">
        <w:t xml:space="preserve">, 12 to </w:t>
      </w:r>
      <w:r w:rsidRPr="00297CC0">
        <w:rPr>
          <w:rFonts w:hint="eastAsia"/>
        </w:rPr>
        <w:sym w:font="Symbol" w:char="F03C"/>
      </w:r>
      <w:r>
        <w:t> </w:t>
      </w:r>
      <w:r w:rsidRPr="00297CC0">
        <w:t>18</w:t>
      </w:r>
      <w:r>
        <w:t xml:space="preserve"> years</w:t>
      </w:r>
      <w:r w:rsidRPr="00297CC0">
        <w:t>, and </w:t>
      </w:r>
      <w:r w:rsidRPr="00297CC0">
        <w:rPr>
          <w:rFonts w:hint="eastAsia"/>
        </w:rPr>
        <w:sym w:font="Symbol" w:char="F0B3"/>
      </w:r>
      <w:r>
        <w:t> </w:t>
      </w:r>
      <w:r w:rsidRPr="00297CC0">
        <w:t>18</w:t>
      </w:r>
      <w:r>
        <w:t xml:space="preserve"> years</w:t>
      </w:r>
      <w:r w:rsidRPr="00297CC0">
        <w:t xml:space="preserve">. Patients </w:t>
      </w:r>
      <w:r>
        <w:t xml:space="preserve">aged </w:t>
      </w:r>
      <w:r w:rsidRPr="00297CC0">
        <w:rPr>
          <w:rFonts w:hint="eastAsia"/>
        </w:rPr>
        <w:sym w:font="Symbol" w:char="F03C"/>
      </w:r>
      <w:r>
        <w:t> </w:t>
      </w:r>
      <w:r w:rsidRPr="00297CC0">
        <w:t xml:space="preserve">18 years received a 15 mg/kg dose of </w:t>
      </w:r>
      <w:proofErr w:type="spellStart"/>
      <w:r w:rsidRPr="00297CC0">
        <w:t>a</w:t>
      </w:r>
      <w:r>
        <w:t>tezolizumab</w:t>
      </w:r>
      <w:proofErr w:type="spellEnd"/>
      <w:r>
        <w:t xml:space="preserve"> q3w while patients aged </w:t>
      </w:r>
      <w:r w:rsidRPr="00297CC0">
        <w:rPr>
          <w:rFonts w:hint="eastAsia"/>
        </w:rPr>
        <w:sym w:font="Symbol" w:char="F0B3"/>
      </w:r>
      <w:r>
        <w:t> </w:t>
      </w:r>
      <w:r w:rsidRPr="00297CC0">
        <w:t xml:space="preserve">18 years received a flat 1200 mg dose of </w:t>
      </w:r>
      <w:proofErr w:type="spellStart"/>
      <w:r w:rsidRPr="00297CC0">
        <w:t>atezolizumab</w:t>
      </w:r>
      <w:proofErr w:type="spellEnd"/>
      <w:r w:rsidRPr="00297CC0">
        <w:t xml:space="preserve"> q3w </w:t>
      </w:r>
    </w:p>
    <w:p w:rsidR="00023FE5" w:rsidRDefault="00023FE5">
      <w:bookmarkStart w:id="0" w:name="_GoBack"/>
      <w:bookmarkEnd w:id="0"/>
    </w:p>
    <w:sectPr w:rsidR="00023FE5" w:rsidSect="00AF584F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53" w:rsidRDefault="00DD1E28" w:rsidP="00344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B53" w:rsidRDefault="00DD1E28" w:rsidP="002A5D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53" w:rsidRDefault="00DD1E28" w:rsidP="00344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0B53" w:rsidRDefault="00DD1E28" w:rsidP="000F215B">
    <w:pPr>
      <w:pStyle w:val="Footer"/>
      <w:ind w:right="360"/>
    </w:pPr>
  </w:p>
  <w:p w:rsidR="00130B53" w:rsidRDefault="00DD1E28" w:rsidP="00A5481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5"/>
    <w:rsid w:val="00023FE5"/>
    <w:rsid w:val="001615FB"/>
    <w:rsid w:val="00310801"/>
    <w:rsid w:val="00DD1E28"/>
    <w:rsid w:val="00E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link w:val="footnoteChar"/>
    <w:qFormat/>
    <w:rsid w:val="00EA07E4"/>
    <w:pPr>
      <w:autoSpaceDE w:val="0"/>
      <w:autoSpaceDN w:val="0"/>
      <w:adjustRightInd w:val="0"/>
      <w:spacing w:before="120" w:after="240"/>
    </w:pPr>
    <w:rPr>
      <w:rFonts w:eastAsiaTheme="minorHAnsi" w:cstheme="minorBidi"/>
      <w:i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A07E4"/>
    <w:rPr>
      <w:rFonts w:ascii="Times New Roman" w:hAnsi="Times New Roman"/>
      <w:i/>
      <w:sz w:val="18"/>
      <w:szCs w:val="18"/>
    </w:rPr>
  </w:style>
  <w:style w:type="paragraph" w:styleId="Footer">
    <w:name w:val="footer"/>
    <w:basedOn w:val="Normal"/>
    <w:link w:val="FooterChar"/>
    <w:unhideWhenUsed/>
    <w:rsid w:val="00DD1E28"/>
    <w:pPr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DD1E28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5"/>
    <w:rPr>
      <w:rFonts w:ascii="Tahoma" w:eastAsia="Times New Roman" w:hAnsi="Tahoma" w:cs="Tahoma"/>
      <w:sz w:val="16"/>
      <w:szCs w:val="16"/>
    </w:rPr>
  </w:style>
  <w:style w:type="paragraph" w:customStyle="1" w:styleId="footnote">
    <w:name w:val="footnote"/>
    <w:basedOn w:val="Normal"/>
    <w:link w:val="footnoteChar"/>
    <w:qFormat/>
    <w:rsid w:val="00EA07E4"/>
    <w:pPr>
      <w:autoSpaceDE w:val="0"/>
      <w:autoSpaceDN w:val="0"/>
      <w:adjustRightInd w:val="0"/>
      <w:spacing w:before="120" w:after="240"/>
    </w:pPr>
    <w:rPr>
      <w:rFonts w:eastAsiaTheme="minorHAnsi" w:cstheme="minorBidi"/>
      <w:i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EA07E4"/>
    <w:rPr>
      <w:rFonts w:ascii="Times New Roman" w:hAnsi="Times New Roman"/>
      <w:i/>
      <w:sz w:val="18"/>
      <w:szCs w:val="18"/>
    </w:rPr>
  </w:style>
  <w:style w:type="paragraph" w:styleId="Footer">
    <w:name w:val="footer"/>
    <w:basedOn w:val="Normal"/>
    <w:link w:val="FooterChar"/>
    <w:unhideWhenUsed/>
    <w:rsid w:val="00DD1E28"/>
    <w:pPr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DD1E28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OF46</dc:creator>
  <cp:lastModifiedBy>OF46</cp:lastModifiedBy>
  <cp:revision>2</cp:revision>
  <dcterms:created xsi:type="dcterms:W3CDTF">2019-11-09T12:50:00Z</dcterms:created>
  <dcterms:modified xsi:type="dcterms:W3CDTF">2019-11-09T12:50:00Z</dcterms:modified>
</cp:coreProperties>
</file>