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56"/>
        <w:ind w:left="100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sz w:val="22"/>
        </w:rPr>
        <w:t>Supplemental Figure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1</w:t>
      </w:r>
      <w:r>
        <w:rPr>
          <w:rFonts w:ascii="Calibri"/>
          <w:sz w:val="2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line="240" w:lineRule="auto"/>
        <w:ind w:left="10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drawing>
          <wp:inline distT="0" distB="0" distL="0" distR="0">
            <wp:extent cx="5674974" cy="4114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97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after="0" w:line="240" w:lineRule="auto"/>
        <w:rPr>
          <w:rFonts w:ascii="Calibri" w:hAnsi="Calibri" w:cs="Calibri" w:eastAsia="Calibri" w:hint="default"/>
          <w:sz w:val="20"/>
          <w:szCs w:val="20"/>
        </w:rPr>
        <w:sectPr>
          <w:headerReference w:type="default" r:id="rId5"/>
          <w:type w:val="continuous"/>
          <w:pgSz w:w="12240" w:h="15840"/>
          <w:pgMar w:header="1484" w:top="1700" w:bottom="280" w:left="1340" w:right="1320"/>
        </w:sectPr>
      </w:pPr>
    </w:p>
    <w:p>
      <w:pPr>
        <w:spacing w:line="240" w:lineRule="auto" w:before="9"/>
        <w:ind w:right="0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pStyle w:val="BodyText"/>
        <w:spacing w:line="480" w:lineRule="auto"/>
        <w:ind w:right="114"/>
        <w:jc w:val="both"/>
      </w:pPr>
      <w:r>
        <w:rPr/>
        <w:t>cytometry data was collected on a BD Fortessa Dual cytometer, compensated in FlowJo 7.65 and gated and analyzed in FlowJo 10.5. Representative data is shown to illustrate profiling of major T cell and myeloid populations from B16-F10</w:t>
      </w:r>
      <w:r>
        <w:rPr>
          <w:spacing w:val="-8"/>
        </w:rPr>
        <w:t> </w:t>
      </w:r>
      <w:r>
        <w:rPr/>
        <w:t>tumors.</w:t>
      </w:r>
    </w:p>
    <w:sectPr>
      <w:headerReference w:type="default" r:id="rId7"/>
      <w:pgSz w:w="12240" w:h="15840"/>
      <w:pgMar w:header="1484" w:footer="0" w:top="17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.180pt;width:184.15pt;height:13.05pt;mso-position-horizontal-relative:page;mso-position-vertical-relative:page;z-index:-22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SUPPLEMENTAL FIGURES AND</w:t>
                </w:r>
                <w:r>
                  <w:rPr>
                    <w:rFonts w:ascii="Calibri"/>
                    <w:b/>
                    <w:spacing w:val="-1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LEGENDS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73.180pt;width:470.2pt;height:13.05pt;mso-position-horizontal-relative:page;mso-position-vertical-relative:page;z-index:-2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Supplemental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Figure</w:t>
                </w:r>
                <w:r>
                  <w:rPr>
                    <w:rFonts w:asci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1:</w:t>
                </w:r>
                <w:r>
                  <w:rPr>
                    <w:rFonts w:asci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Flow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cytometry</w:t>
                </w:r>
                <w:r>
                  <w:rPr>
                    <w:rFonts w:asci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gating</w:t>
                </w:r>
                <w:r>
                  <w:rPr>
                    <w:rFonts w:asci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strategy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for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tumor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infiltrating</w:t>
                </w:r>
                <w:r>
                  <w:rPr>
                    <w:rFonts w:asci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lymphocyte</w:t>
                </w:r>
                <w:r>
                  <w:rPr>
                    <w:rFonts w:asci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analysis.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Flow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Curran,Michael</dc:creator>
  <dcterms:created xsi:type="dcterms:W3CDTF">2019-10-21T13:07:32Z</dcterms:created>
  <dcterms:modified xsi:type="dcterms:W3CDTF">2019-10-21T13:07:32Z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